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51AD15">
      <w:pPr>
        <w:keepNext w:val="0"/>
        <w:keepLines w:val="0"/>
        <w:pageBreakBefore w:val="0"/>
        <w:widowControl w:val="0"/>
        <w:kinsoku/>
        <w:wordWrap/>
        <w:overflowPunct/>
        <w:topLinePunct w:val="0"/>
        <w:autoSpaceDE/>
        <w:autoSpaceDN/>
        <w:bidi w:val="0"/>
        <w:adjustRightInd/>
        <w:snapToGrid/>
        <w:ind w:firstLine="643" w:firstLineChars="200"/>
        <w:jc w:val="center"/>
        <w:textAlignment w:val="auto"/>
        <w:rPr>
          <w:rFonts w:hint="eastAsia" w:ascii="黑体" w:hAnsi="黑体" w:eastAsia="黑体"/>
          <w:b/>
          <w:bCs/>
          <w:kern w:val="44"/>
          <w:sz w:val="32"/>
          <w:szCs w:val="32"/>
        </w:rPr>
      </w:pPr>
      <w:r>
        <w:rPr>
          <w:rFonts w:hint="eastAsia" w:ascii="黑体" w:hAnsi="黑体" w:eastAsia="黑体"/>
          <w:b/>
          <w:bCs/>
          <w:kern w:val="44"/>
          <w:sz w:val="32"/>
          <w:szCs w:val="32"/>
        </w:rPr>
        <w:t>202</w:t>
      </w:r>
      <w:r>
        <w:rPr>
          <w:rFonts w:hint="eastAsia" w:ascii="黑体" w:hAnsi="黑体" w:eastAsia="黑体"/>
          <w:b/>
          <w:bCs/>
          <w:kern w:val="44"/>
          <w:sz w:val="32"/>
          <w:szCs w:val="32"/>
          <w:lang w:val="en-US" w:eastAsia="zh-CN"/>
        </w:rPr>
        <w:t>5</w:t>
      </w:r>
      <w:r>
        <w:rPr>
          <w:rFonts w:hint="eastAsia" w:ascii="黑体" w:hAnsi="黑体" w:eastAsia="黑体"/>
          <w:b/>
          <w:bCs/>
          <w:kern w:val="44"/>
          <w:sz w:val="32"/>
          <w:szCs w:val="32"/>
        </w:rPr>
        <w:t>年黑龙江省职业教育春季高考</w:t>
      </w:r>
    </w:p>
    <w:p w14:paraId="38F33A82">
      <w:pPr>
        <w:keepNext w:val="0"/>
        <w:keepLines w:val="0"/>
        <w:pageBreakBefore w:val="0"/>
        <w:widowControl w:val="0"/>
        <w:kinsoku/>
        <w:wordWrap/>
        <w:overflowPunct/>
        <w:topLinePunct w:val="0"/>
        <w:autoSpaceDE/>
        <w:autoSpaceDN/>
        <w:bidi w:val="0"/>
        <w:adjustRightInd/>
        <w:snapToGrid/>
        <w:ind w:firstLine="643" w:firstLineChars="200"/>
        <w:jc w:val="center"/>
        <w:textAlignment w:val="auto"/>
        <w:rPr>
          <w:rFonts w:hint="eastAsia" w:ascii="黑体" w:hAnsi="黑体" w:eastAsia="黑体"/>
          <w:b/>
          <w:bCs/>
          <w:kern w:val="44"/>
          <w:sz w:val="32"/>
          <w:szCs w:val="32"/>
        </w:rPr>
      </w:pPr>
      <w:r>
        <w:rPr>
          <w:rFonts w:hint="eastAsia" w:ascii="黑体" w:hAnsi="黑体" w:eastAsia="黑体"/>
          <w:b/>
          <w:bCs/>
          <w:kern w:val="44"/>
          <w:sz w:val="32"/>
          <w:szCs w:val="32"/>
        </w:rPr>
        <w:t>园艺技术专业技能操作考试大纲</w:t>
      </w:r>
    </w:p>
    <w:p w14:paraId="5D388997">
      <w:pPr>
        <w:pStyle w:val="3"/>
        <w:ind w:firstLine="482" w:firstLineChars="200"/>
        <w:rPr>
          <w:rFonts w:hint="default"/>
        </w:rPr>
      </w:pPr>
      <w:r>
        <w:t>一、考试依据</w:t>
      </w:r>
    </w:p>
    <w:p w14:paraId="3A6DB68F">
      <w:pPr>
        <w:ind w:firstLine="480" w:firstLineChars="200"/>
      </w:pPr>
      <w:r>
        <w:rPr>
          <w:rFonts w:hint="eastAsia"/>
        </w:rPr>
        <w:t>1.参照中华人民共和国教育部职业教育与成人教育司颁布的《中等职业学校专业教学标准（试行）》</w:t>
      </w:r>
      <w:r>
        <w:rPr>
          <w:rFonts w:hint="eastAsia"/>
          <w:lang w:eastAsia="zh-CN"/>
        </w:rPr>
        <w:t>（</w:t>
      </w:r>
      <w:r>
        <w:rPr>
          <w:rFonts w:hint="eastAsia"/>
        </w:rPr>
        <w:t>2017 年 8 月 26 日发布</w:t>
      </w:r>
      <w:r>
        <w:rPr>
          <w:rFonts w:hint="eastAsia"/>
          <w:lang w:eastAsia="zh-CN"/>
        </w:rPr>
        <w:t>）</w:t>
      </w:r>
      <w:r>
        <w:rPr>
          <w:rFonts w:hint="eastAsia"/>
        </w:rPr>
        <w:t>。</w:t>
      </w:r>
    </w:p>
    <w:p w14:paraId="4D2AD350">
      <w:pPr>
        <w:ind w:firstLine="480" w:firstLineChars="200"/>
      </w:pPr>
      <w:r>
        <w:rPr>
          <w:rFonts w:hint="eastAsia"/>
        </w:rPr>
        <w:t>2.参照中华人民共和国教育部职业教育与成人教育司颁布的《职业教育专业目录（2021年修订）》；职业教育专业简介（2022年修订）。</w:t>
      </w:r>
    </w:p>
    <w:p w14:paraId="5A9A245D">
      <w:pPr>
        <w:ind w:firstLine="480" w:firstLineChars="200"/>
      </w:pPr>
      <w:r>
        <w:rPr>
          <w:rFonts w:hint="eastAsia"/>
        </w:rPr>
        <w:t>3.参照</w:t>
      </w:r>
      <w:r>
        <w:rPr>
          <w:rFonts w:hint="eastAsia"/>
          <w:lang w:val="en-US" w:eastAsia="zh-CN"/>
        </w:rPr>
        <w:t>农艺工</w:t>
      </w:r>
      <w:r>
        <w:rPr>
          <w:rFonts w:hint="eastAsia"/>
        </w:rPr>
        <w:t>技能等级证书各模块初级认证标准。</w:t>
      </w:r>
    </w:p>
    <w:p w14:paraId="09CAD3AA">
      <w:pPr>
        <w:pStyle w:val="3"/>
        <w:ind w:firstLine="482" w:firstLineChars="200"/>
        <w:rPr>
          <w:rFonts w:hint="default"/>
        </w:rPr>
      </w:pPr>
      <w:r>
        <w:t>二、考试方式</w:t>
      </w:r>
    </w:p>
    <w:p w14:paraId="2C2B402E">
      <w:pPr>
        <w:ind w:firstLine="480" w:firstLineChars="200"/>
      </w:pPr>
      <w:r>
        <w:rPr>
          <w:rFonts w:hint="eastAsia"/>
        </w:rPr>
        <w:t>202</w:t>
      </w:r>
      <w:r>
        <w:rPr>
          <w:rFonts w:hint="eastAsia"/>
          <w:lang w:val="en-US" w:eastAsia="zh-CN"/>
        </w:rPr>
        <w:t>5</w:t>
      </w:r>
      <w:r>
        <w:rPr>
          <w:rFonts w:hint="eastAsia"/>
        </w:rPr>
        <w:t>年黑龙江省职业教育春季高考园艺技术专业技能考试为实际操作考试方式，考试总分为200分，实操项目随机抽取，考试时间为3</w:t>
      </w:r>
      <w:r>
        <w:t>0</w:t>
      </w:r>
      <w:r>
        <w:rPr>
          <w:rFonts w:hint="eastAsia"/>
        </w:rPr>
        <w:t>分钟。</w:t>
      </w:r>
    </w:p>
    <w:p w14:paraId="722791D3">
      <w:pPr>
        <w:pStyle w:val="3"/>
        <w:ind w:firstLine="482" w:firstLineChars="200"/>
        <w:rPr>
          <w:rFonts w:hint="default"/>
        </w:rPr>
      </w:pPr>
      <w:r>
        <w:t>三、考试范围和要求</w:t>
      </w:r>
    </w:p>
    <w:p w14:paraId="7DA5FD14">
      <w:pPr>
        <w:ind w:firstLine="480" w:firstLineChars="200"/>
      </w:pPr>
      <w:r>
        <w:rPr>
          <w:rFonts w:hint="eastAsia"/>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596328C0">
      <w:pPr>
        <w:pStyle w:val="3"/>
        <w:ind w:firstLine="482" w:firstLineChars="200"/>
        <w:rPr>
          <w:rFonts w:hint="default"/>
        </w:rPr>
      </w:pPr>
      <w:r>
        <w:t>技能模块1  生物显微镜使用</w:t>
      </w:r>
    </w:p>
    <w:p w14:paraId="225DB877">
      <w:pPr>
        <w:ind w:firstLine="480" w:firstLineChars="200"/>
      </w:pPr>
      <w:r>
        <w:rPr>
          <w:rFonts w:hint="eastAsia"/>
        </w:rPr>
        <w:t>1. 知识与技能</w:t>
      </w:r>
    </w:p>
    <w:p w14:paraId="1AA4DEB5">
      <w:pPr>
        <w:ind w:firstLine="240" w:firstLineChars="100"/>
        <w:rPr>
          <w:szCs w:val="32"/>
        </w:rPr>
      </w:pPr>
      <w:r>
        <w:rPr>
          <w:rFonts w:hint="eastAsia"/>
          <w:szCs w:val="32"/>
        </w:rPr>
        <w:t>（1）</w:t>
      </w:r>
      <w:r>
        <w:rPr>
          <w:rFonts w:hint="eastAsia"/>
        </w:rPr>
        <w:t>熟悉生物显微镜的结构和各个部件的功能，并能正确操作调节光源、镜头等</w:t>
      </w:r>
      <w:r>
        <w:rPr>
          <w:rFonts w:hint="eastAsia"/>
          <w:szCs w:val="32"/>
        </w:rPr>
        <w:t>。</w:t>
      </w:r>
    </w:p>
    <w:p w14:paraId="0A39D43B">
      <w:pPr>
        <w:ind w:firstLine="240" w:firstLineChars="100"/>
        <w:rPr>
          <w:szCs w:val="32"/>
        </w:rPr>
      </w:pPr>
      <w:r>
        <w:rPr>
          <w:rFonts w:hint="eastAsia"/>
          <w:szCs w:val="32"/>
        </w:rPr>
        <w:t>（2）</w:t>
      </w:r>
      <w:r>
        <w:rPr>
          <w:rFonts w:hint="eastAsia"/>
        </w:rPr>
        <w:t>根据实验要求，准备生物样品，如组织切片、细胞涂片等，保证样品的质量和适合显微镜观察。</w:t>
      </w:r>
    </w:p>
    <w:p w14:paraId="1AAF0380">
      <w:pPr>
        <w:ind w:firstLine="240" w:firstLineChars="100"/>
        <w:rPr>
          <w:szCs w:val="32"/>
        </w:rPr>
      </w:pPr>
      <w:r>
        <w:rPr>
          <w:rFonts w:hint="eastAsia"/>
          <w:szCs w:val="32"/>
        </w:rPr>
        <w:t>（3）</w:t>
      </w:r>
      <w:r>
        <w:rPr>
          <w:rFonts w:hint="eastAsia"/>
        </w:rPr>
        <w:t>根据观察需求，选择合适的物镜，并通过调焦和调节镜筒位置等操作，使样品清晰地显现在视野里</w:t>
      </w:r>
      <w:r>
        <w:rPr>
          <w:rFonts w:hint="eastAsia"/>
          <w:szCs w:val="32"/>
        </w:rPr>
        <w:t>。</w:t>
      </w:r>
    </w:p>
    <w:p w14:paraId="18D8AC23">
      <w:pPr>
        <w:ind w:firstLine="240" w:firstLineChars="100"/>
        <w:rPr>
          <w:szCs w:val="32"/>
        </w:rPr>
      </w:pPr>
      <w:r>
        <w:rPr>
          <w:rFonts w:hint="eastAsia"/>
          <w:szCs w:val="32"/>
        </w:rPr>
        <w:t>（4）</w:t>
      </w:r>
      <w:r>
        <w:rPr>
          <w:rFonts w:hint="eastAsia"/>
        </w:rPr>
        <w:t>通过调节光源强度、对焦、光圈等，优化观察条件，使样品能够以最佳的清晰度和对比度显示</w:t>
      </w:r>
      <w:r>
        <w:rPr>
          <w:rFonts w:hint="eastAsia"/>
          <w:szCs w:val="32"/>
        </w:rPr>
        <w:t>。</w:t>
      </w:r>
    </w:p>
    <w:p w14:paraId="24F2B615">
      <w:pPr>
        <w:ind w:firstLine="240" w:firstLineChars="100"/>
        <w:rPr>
          <w:szCs w:val="32"/>
        </w:rPr>
      </w:pPr>
      <w:r>
        <w:rPr>
          <w:rFonts w:hint="eastAsia"/>
          <w:szCs w:val="32"/>
        </w:rPr>
        <w:t>（5）</w:t>
      </w:r>
      <w:r>
        <w:rPr>
          <w:rFonts w:hint="eastAsia"/>
        </w:rPr>
        <w:t>使用显微镜配套的测量仪器，如目镜刻度盘、物镜刻度盘等，对所观察到的结构进行测量，并能准确记录观察结果和数据</w:t>
      </w:r>
      <w:r>
        <w:rPr>
          <w:rFonts w:hint="eastAsia"/>
          <w:szCs w:val="32"/>
        </w:rPr>
        <w:t>。</w:t>
      </w:r>
    </w:p>
    <w:p w14:paraId="0749F265">
      <w:pPr>
        <w:ind w:firstLine="240" w:firstLineChars="100"/>
        <w:rPr>
          <w:szCs w:val="32"/>
        </w:rPr>
      </w:pPr>
      <w:r>
        <w:rPr>
          <w:rFonts w:hint="eastAsia"/>
          <w:szCs w:val="32"/>
        </w:rPr>
        <w:t>（6）</w:t>
      </w:r>
      <w:r>
        <w:rPr>
          <w:rFonts w:hint="eastAsia"/>
        </w:rPr>
        <w:t>了解生物显微镜的日常维护方法，包括清洁物镜、镜头、调节器等，并能按照正确的步骤进行维护和保养</w:t>
      </w:r>
      <w:r>
        <w:rPr>
          <w:rFonts w:hint="eastAsia"/>
          <w:szCs w:val="32"/>
        </w:rPr>
        <w:t>。</w:t>
      </w:r>
    </w:p>
    <w:p w14:paraId="642D51AB">
      <w:pPr>
        <w:ind w:firstLine="240" w:firstLineChars="100"/>
        <w:rPr>
          <w:szCs w:val="32"/>
        </w:rPr>
      </w:pPr>
      <w:r>
        <w:rPr>
          <w:rFonts w:hint="eastAsia"/>
          <w:szCs w:val="32"/>
        </w:rPr>
        <w:t>（</w:t>
      </w:r>
      <w:r>
        <w:rPr>
          <w:szCs w:val="32"/>
        </w:rPr>
        <w:t>7</w:t>
      </w:r>
      <w:r>
        <w:rPr>
          <w:rFonts w:hint="eastAsia"/>
          <w:szCs w:val="32"/>
        </w:rPr>
        <w:t>）</w:t>
      </w:r>
      <w:r>
        <w:rPr>
          <w:rFonts w:hint="eastAsia"/>
        </w:rPr>
        <w:t>在操作过程中，注意安全规范，如避免镜头损坏、观察时保持适当的距离和角度，不随意调整或拆卸仪器等。</w:t>
      </w:r>
    </w:p>
    <w:p w14:paraId="69ED08DE">
      <w:pPr>
        <w:ind w:firstLine="480" w:firstLineChars="200"/>
      </w:pPr>
      <w:r>
        <w:rPr>
          <w:rFonts w:hint="eastAsia"/>
        </w:rPr>
        <w:t>2.设备与材料</w:t>
      </w:r>
    </w:p>
    <w:p w14:paraId="0AF45B1A">
      <w:pPr>
        <w:bidi w:val="0"/>
        <w:ind w:firstLine="480" w:firstLineChars="200"/>
      </w:pPr>
      <w:r>
        <w:rPr>
          <w:rFonts w:hint="eastAsia"/>
        </w:rPr>
        <w:t>（1）显微镜。</w:t>
      </w:r>
    </w:p>
    <w:p w14:paraId="0F27717E">
      <w:pPr>
        <w:bidi w:val="0"/>
        <w:ind w:firstLine="480" w:firstLineChars="200"/>
      </w:pPr>
      <w:r>
        <w:rPr>
          <w:rFonts w:hint="eastAsia"/>
        </w:rPr>
        <w:t>（2）玻片：菊叶表皮玻片、洋葱根尖纵切玻片、芹菜叶柄横切玻片、大丽花叶柄横切玻片、南瓜茎纵切玻片、洋葱叶表皮玻片、银杏幼果横切玻片等。</w:t>
      </w:r>
    </w:p>
    <w:p w14:paraId="76EA46AB">
      <w:pPr>
        <w:bidi w:val="0"/>
        <w:ind w:firstLine="480" w:firstLineChars="200"/>
      </w:pPr>
      <w:r>
        <w:rPr>
          <w:rFonts w:hint="eastAsia"/>
        </w:rPr>
        <w:t>3.操作规范要求</w:t>
      </w:r>
    </w:p>
    <w:p w14:paraId="2AF6CF79">
      <w:pPr>
        <w:bidi w:val="0"/>
        <w:ind w:firstLine="480" w:firstLineChars="200"/>
      </w:pPr>
      <w:r>
        <w:rPr>
          <w:rFonts w:hint="eastAsia"/>
          <w:lang w:eastAsia="zh-CN"/>
        </w:rPr>
        <w:t>（</w:t>
      </w:r>
      <w:r>
        <w:rPr>
          <w:rFonts w:hint="eastAsia"/>
          <w:lang w:val="en-US" w:eastAsia="zh-CN"/>
        </w:rPr>
        <w:t>1</w:t>
      </w:r>
      <w:r>
        <w:rPr>
          <w:rFonts w:hint="eastAsia"/>
          <w:lang w:eastAsia="zh-CN"/>
        </w:rPr>
        <w:t>）</w:t>
      </w:r>
      <w:r>
        <w:rPr>
          <w:rFonts w:hint="eastAsia"/>
        </w:rPr>
        <w:t>操作生物显微镜需要遵守实验室卫生安全规定，不得随意丢弃有害物质，如使用过的载玻片和吸管等。</w:t>
      </w:r>
    </w:p>
    <w:p w14:paraId="697E17D9">
      <w:pPr>
        <w:bidi w:val="0"/>
        <w:ind w:firstLine="480" w:firstLineChars="200"/>
      </w:pPr>
      <w:r>
        <w:rPr>
          <w:rFonts w:hint="eastAsia"/>
        </w:rPr>
        <w:t>（2）考生需要在考试前熟悉生物显微镜的各项操作。</w:t>
      </w:r>
    </w:p>
    <w:p w14:paraId="48FE6914">
      <w:pPr>
        <w:spacing w:line="240" w:lineRule="auto"/>
        <w:ind w:firstLine="480" w:firstLineChars="200"/>
      </w:pPr>
      <w:r>
        <w:rPr>
          <w:rFonts w:hint="eastAsia"/>
        </w:rPr>
        <w:t>（3）观察样本时，需要仔细观察</w:t>
      </w:r>
      <w:r>
        <w:rPr>
          <w:rFonts w:hint="eastAsia"/>
          <w:lang w:val="en-US" w:eastAsia="zh-CN"/>
        </w:rPr>
        <w:t>目镜里的物像</w:t>
      </w:r>
      <w:r>
        <w:rPr>
          <w:rFonts w:hint="eastAsia"/>
        </w:rPr>
        <w:t>是否清晰，若出现不清晰或变形</w:t>
      </w:r>
      <w:r>
        <w:rPr>
          <w:rFonts w:hint="eastAsia"/>
          <w:lang w:val="en-US" w:eastAsia="zh-CN"/>
        </w:rPr>
        <w:t>的</w:t>
      </w:r>
      <w:r>
        <w:rPr>
          <w:rFonts w:hint="eastAsia"/>
        </w:rPr>
        <w:t>情况，需要及时调整物镜、横移夹及焦距等操作，以确保</w:t>
      </w:r>
      <w:r>
        <w:rPr>
          <w:rFonts w:hint="eastAsia"/>
          <w:lang w:val="en-US" w:eastAsia="zh-CN"/>
        </w:rPr>
        <w:t>物像</w:t>
      </w:r>
      <w:r>
        <w:rPr>
          <w:rFonts w:hint="eastAsia"/>
        </w:rPr>
        <w:t>清晰可见。</w:t>
      </w:r>
    </w:p>
    <w:p w14:paraId="4C698EB8">
      <w:pPr>
        <w:spacing w:line="240" w:lineRule="auto"/>
        <w:ind w:firstLine="480" w:firstLineChars="200"/>
      </w:pPr>
      <w:r>
        <w:rPr>
          <w:rFonts w:hint="eastAsia"/>
        </w:rPr>
        <w:t>（4）根据题目要求，选择合适的物镜放大倍率。</w:t>
      </w:r>
    </w:p>
    <w:p w14:paraId="5E69FB32">
      <w:pPr>
        <w:spacing w:line="240" w:lineRule="auto"/>
        <w:ind w:firstLine="480" w:firstLineChars="200"/>
      </w:pPr>
      <w:r>
        <w:rPr>
          <w:rFonts w:hint="eastAsia"/>
        </w:rPr>
        <w:t>（5）考生不得在</w:t>
      </w:r>
      <w:r>
        <w:rPr>
          <w:rFonts w:hint="eastAsia"/>
          <w:highlight w:val="none"/>
          <w:lang w:val="en-US" w:eastAsia="zh-CN"/>
        </w:rPr>
        <w:t>考试设备和材料</w:t>
      </w:r>
      <w:r>
        <w:rPr>
          <w:rFonts w:hint="eastAsia"/>
        </w:rPr>
        <w:t>上作任何标记。</w:t>
      </w:r>
    </w:p>
    <w:p w14:paraId="78841728">
      <w:pPr>
        <w:spacing w:line="240" w:lineRule="auto"/>
        <w:ind w:firstLine="480" w:firstLineChars="200"/>
      </w:pPr>
      <w:r>
        <w:rPr>
          <w:rFonts w:hint="eastAsia"/>
        </w:rPr>
        <w:t>（6）</w:t>
      </w:r>
      <w:r>
        <w:rPr>
          <w:rFonts w:hint="eastAsia"/>
          <w:lang w:val="en-US" w:eastAsia="zh-CN"/>
        </w:rPr>
        <w:t>在</w:t>
      </w:r>
      <w:r>
        <w:rPr>
          <w:rFonts w:hint="eastAsia"/>
        </w:rPr>
        <w:t>考核过程中，考核材料因考生原因受到破损等不予重新发放。</w:t>
      </w:r>
    </w:p>
    <w:p w14:paraId="60DB416D">
      <w:pPr>
        <w:spacing w:line="240" w:lineRule="auto"/>
        <w:ind w:firstLine="480" w:firstLineChars="200"/>
      </w:pPr>
      <w:r>
        <w:rPr>
          <w:rFonts w:hint="eastAsia"/>
        </w:rPr>
        <w:t>（7）考生使用生物显微镜后，需要仔细清洁生物显微镜。</w:t>
      </w:r>
    </w:p>
    <w:p w14:paraId="06D99A6D">
      <w:pPr>
        <w:pStyle w:val="3"/>
        <w:ind w:firstLine="482"/>
        <w:rPr>
          <w:rFonts w:hint="default" w:eastAsia="宋体" w:cs="宋体"/>
          <w:color w:val="auto"/>
          <w:highlight w:val="none"/>
          <w:lang w:val="en-US" w:eastAsia="zh-CN"/>
        </w:rPr>
      </w:pPr>
      <w:r>
        <w:rPr>
          <w:rFonts w:cs="宋体"/>
        </w:rPr>
        <w:t xml:space="preserve">技能模块2  </w:t>
      </w:r>
      <w:r>
        <w:rPr>
          <w:rFonts w:hint="eastAsia" w:cs="宋体"/>
          <w:lang w:val="en-US" w:eastAsia="zh-CN"/>
        </w:rPr>
        <w:t>蔬菜</w:t>
      </w:r>
      <w:r>
        <w:rPr>
          <w:rFonts w:hint="eastAsia" w:cs="宋体"/>
          <w:color w:val="auto"/>
          <w:highlight w:val="none"/>
          <w:lang w:val="en-US" w:eastAsia="zh-CN"/>
        </w:rPr>
        <w:t>种子识别</w:t>
      </w:r>
    </w:p>
    <w:p w14:paraId="1DB81B08">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1.知识与技能</w:t>
      </w:r>
    </w:p>
    <w:p w14:paraId="17B5F93D">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eastAsiaTheme="minorEastAsia"/>
          <w:color w:val="auto"/>
          <w:szCs w:val="32"/>
          <w:highlight w:val="none"/>
          <w:lang w:val="en-US" w:eastAsia="zh-CN"/>
        </w:rPr>
      </w:pPr>
      <w:r>
        <w:rPr>
          <w:rFonts w:hint="eastAsia"/>
          <w:color w:val="auto"/>
          <w:szCs w:val="32"/>
          <w:highlight w:val="none"/>
        </w:rPr>
        <w:t>（1）</w:t>
      </w:r>
      <w:r>
        <w:rPr>
          <w:rFonts w:hint="eastAsia" w:asciiTheme="minorHAnsi" w:hAnsiTheme="minorHAnsi" w:eastAsiaTheme="minorEastAsia" w:cstheme="minorBidi"/>
          <w:color w:val="auto"/>
          <w:sz w:val="24"/>
          <w:szCs w:val="32"/>
          <w:highlight w:val="none"/>
        </w:rPr>
        <w:t>能正确认识</w:t>
      </w:r>
      <w:r>
        <w:rPr>
          <w:rFonts w:hint="eastAsia" w:cstheme="minorBidi"/>
          <w:color w:val="auto"/>
          <w:sz w:val="24"/>
          <w:szCs w:val="32"/>
          <w:highlight w:val="none"/>
          <w:lang w:val="en-US" w:eastAsia="zh-CN"/>
        </w:rPr>
        <w:t>蔬菜</w:t>
      </w:r>
      <w:r>
        <w:rPr>
          <w:rFonts w:hint="eastAsia" w:asciiTheme="minorHAnsi" w:hAnsiTheme="minorHAnsi" w:eastAsiaTheme="minorEastAsia" w:cstheme="minorBidi"/>
          <w:color w:val="auto"/>
          <w:sz w:val="24"/>
          <w:szCs w:val="32"/>
          <w:highlight w:val="none"/>
        </w:rPr>
        <w:t>种子</w:t>
      </w:r>
      <w:r>
        <w:rPr>
          <w:rFonts w:hint="eastAsia" w:asciiTheme="minorHAnsi" w:hAnsiTheme="minorHAnsi" w:eastAsiaTheme="minorEastAsia" w:cstheme="minorBidi"/>
          <w:color w:val="auto"/>
          <w:sz w:val="24"/>
          <w:szCs w:val="32"/>
          <w:highlight w:val="none"/>
          <w:lang w:eastAsia="zh-CN"/>
        </w:rPr>
        <w:t>，</w:t>
      </w:r>
      <w:r>
        <w:rPr>
          <w:rFonts w:hint="eastAsia" w:asciiTheme="minorHAnsi" w:hAnsiTheme="minorHAnsi" w:eastAsiaTheme="minorEastAsia" w:cstheme="minorBidi"/>
          <w:color w:val="auto"/>
          <w:sz w:val="24"/>
          <w:szCs w:val="32"/>
          <w:highlight w:val="none"/>
          <w:lang w:val="en-US" w:eastAsia="zh-CN"/>
        </w:rPr>
        <w:t>指出</w:t>
      </w:r>
      <w:r>
        <w:rPr>
          <w:rFonts w:hint="eastAsia" w:cstheme="minorBidi"/>
          <w:color w:val="auto"/>
          <w:sz w:val="24"/>
          <w:szCs w:val="32"/>
          <w:highlight w:val="none"/>
          <w:lang w:val="en-US" w:eastAsia="zh-CN"/>
        </w:rPr>
        <w:t>该蔬菜</w:t>
      </w:r>
      <w:r>
        <w:rPr>
          <w:rFonts w:hint="eastAsia" w:asciiTheme="minorHAnsi" w:hAnsiTheme="minorHAnsi" w:eastAsiaTheme="minorEastAsia" w:cstheme="minorBidi"/>
          <w:color w:val="auto"/>
          <w:sz w:val="24"/>
          <w:szCs w:val="32"/>
          <w:highlight w:val="none"/>
          <w:lang w:val="en-US" w:eastAsia="zh-CN"/>
        </w:rPr>
        <w:t>所属的科</w:t>
      </w:r>
      <w:r>
        <w:rPr>
          <w:rFonts w:hint="eastAsia" w:asciiTheme="minorHAnsi" w:hAnsiTheme="minorHAnsi" w:eastAsiaTheme="minorEastAsia" w:cstheme="minorBidi"/>
          <w:color w:val="auto"/>
          <w:sz w:val="24"/>
          <w:szCs w:val="32"/>
          <w:highlight w:val="none"/>
        </w:rPr>
        <w:t>。</w:t>
      </w:r>
    </w:p>
    <w:p w14:paraId="247537E9">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lang w:eastAsia="zh-CN"/>
        </w:rPr>
        <w:t>（</w:t>
      </w:r>
      <w:r>
        <w:rPr>
          <w:rFonts w:hint="eastAsia"/>
          <w:color w:val="auto"/>
          <w:szCs w:val="32"/>
          <w:highlight w:val="none"/>
          <w:lang w:val="en-US" w:eastAsia="zh-CN"/>
        </w:rPr>
        <w:t>2</w:t>
      </w:r>
      <w:r>
        <w:rPr>
          <w:rFonts w:hint="eastAsia"/>
          <w:color w:val="auto"/>
          <w:szCs w:val="32"/>
          <w:highlight w:val="none"/>
          <w:lang w:eastAsia="zh-CN"/>
        </w:rPr>
        <w:t>）</w:t>
      </w:r>
      <w:r>
        <w:rPr>
          <w:rFonts w:hint="eastAsia"/>
          <w:color w:val="auto"/>
          <w:szCs w:val="32"/>
          <w:highlight w:val="none"/>
        </w:rPr>
        <w:t>能识别</w:t>
      </w:r>
      <w:r>
        <w:rPr>
          <w:rFonts w:hint="eastAsia"/>
          <w:color w:val="auto"/>
          <w:szCs w:val="32"/>
          <w:highlight w:val="none"/>
          <w:lang w:val="en-US" w:eastAsia="zh-CN"/>
        </w:rPr>
        <w:t>菜豆种子外部形态结构</w:t>
      </w:r>
      <w:r>
        <w:rPr>
          <w:rFonts w:hint="eastAsia"/>
          <w:color w:val="auto"/>
          <w:szCs w:val="32"/>
          <w:highlight w:val="none"/>
        </w:rPr>
        <w:t>。</w:t>
      </w:r>
    </w:p>
    <w:p w14:paraId="49817EB2">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w:t>
      </w:r>
      <w:r>
        <w:rPr>
          <w:rFonts w:hint="eastAsia"/>
          <w:color w:val="auto"/>
          <w:szCs w:val="32"/>
          <w:highlight w:val="none"/>
          <w:lang w:val="en-US" w:eastAsia="zh-CN"/>
        </w:rPr>
        <w:t>3</w:t>
      </w:r>
      <w:r>
        <w:rPr>
          <w:rFonts w:hint="eastAsia"/>
          <w:color w:val="auto"/>
          <w:szCs w:val="32"/>
          <w:highlight w:val="none"/>
        </w:rPr>
        <w:t>）能</w:t>
      </w:r>
      <w:r>
        <w:rPr>
          <w:rFonts w:hint="eastAsia"/>
          <w:color w:val="auto"/>
          <w:szCs w:val="32"/>
          <w:highlight w:val="none"/>
          <w:lang w:val="en-US" w:eastAsia="zh-CN"/>
        </w:rPr>
        <w:t>解剖并观察菜豆种子，标出内部形态结构</w:t>
      </w:r>
      <w:r>
        <w:rPr>
          <w:rFonts w:hint="eastAsia"/>
          <w:color w:val="auto"/>
          <w:szCs w:val="32"/>
          <w:highlight w:val="none"/>
        </w:rPr>
        <w:t>。</w:t>
      </w:r>
    </w:p>
    <w:p w14:paraId="4F3488B1">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w:t>
      </w:r>
      <w:r>
        <w:rPr>
          <w:rFonts w:hint="eastAsia"/>
          <w:color w:val="auto"/>
          <w:szCs w:val="32"/>
          <w:highlight w:val="none"/>
          <w:lang w:val="en-US" w:eastAsia="zh-CN"/>
        </w:rPr>
        <w:t>4</w:t>
      </w:r>
      <w:r>
        <w:rPr>
          <w:rFonts w:hint="eastAsia"/>
          <w:color w:val="auto"/>
          <w:szCs w:val="32"/>
          <w:highlight w:val="none"/>
        </w:rPr>
        <w:t>）</w:t>
      </w:r>
      <w:bookmarkStart w:id="0" w:name="_Hlk155119045"/>
      <w:r>
        <w:rPr>
          <w:rFonts w:hint="eastAsia"/>
          <w:color w:val="auto"/>
          <w:szCs w:val="32"/>
          <w:highlight w:val="none"/>
        </w:rPr>
        <w:t>能准确辨别</w:t>
      </w:r>
      <w:r>
        <w:rPr>
          <w:rFonts w:hint="eastAsia"/>
          <w:color w:val="auto"/>
          <w:szCs w:val="32"/>
          <w:highlight w:val="none"/>
          <w:lang w:val="en-US" w:eastAsia="zh-CN"/>
        </w:rPr>
        <w:t>番茄种子外部形态结构</w:t>
      </w:r>
      <w:r>
        <w:rPr>
          <w:rFonts w:hint="eastAsia"/>
          <w:color w:val="auto"/>
          <w:szCs w:val="32"/>
          <w:highlight w:val="none"/>
        </w:rPr>
        <w:t>。</w:t>
      </w:r>
    </w:p>
    <w:bookmarkEnd w:id="0"/>
    <w:p w14:paraId="5AEDBFC7">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w:t>
      </w:r>
      <w:r>
        <w:rPr>
          <w:rFonts w:hint="eastAsia"/>
          <w:color w:val="auto"/>
          <w:szCs w:val="32"/>
          <w:highlight w:val="none"/>
          <w:lang w:val="en-US" w:eastAsia="zh-CN"/>
        </w:rPr>
        <w:t>5</w:t>
      </w:r>
      <w:r>
        <w:rPr>
          <w:rFonts w:hint="eastAsia"/>
          <w:color w:val="auto"/>
          <w:szCs w:val="32"/>
          <w:highlight w:val="none"/>
        </w:rPr>
        <w:t>）能</w:t>
      </w:r>
      <w:r>
        <w:rPr>
          <w:rFonts w:hint="eastAsia"/>
          <w:color w:val="auto"/>
          <w:szCs w:val="32"/>
          <w:highlight w:val="none"/>
          <w:lang w:val="en-US" w:eastAsia="zh-CN"/>
        </w:rPr>
        <w:t>解剖番茄种子，标出内部形态结构</w:t>
      </w:r>
      <w:r>
        <w:rPr>
          <w:rFonts w:hint="eastAsia"/>
          <w:color w:val="auto"/>
          <w:szCs w:val="32"/>
          <w:highlight w:val="none"/>
        </w:rPr>
        <w:t>。</w:t>
      </w:r>
    </w:p>
    <w:p w14:paraId="1C86D50F">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default"/>
          <w:color w:val="auto"/>
          <w:szCs w:val="32"/>
          <w:highlight w:val="none"/>
          <w:lang w:val="en-US" w:eastAsia="zh-CN"/>
        </w:rPr>
      </w:pPr>
      <w:r>
        <w:rPr>
          <w:rFonts w:hint="eastAsia"/>
          <w:color w:val="auto"/>
          <w:szCs w:val="32"/>
          <w:highlight w:val="none"/>
          <w:lang w:eastAsia="zh-CN"/>
        </w:rPr>
        <w:t>（</w:t>
      </w:r>
      <w:r>
        <w:rPr>
          <w:rFonts w:hint="eastAsia"/>
          <w:color w:val="auto"/>
          <w:szCs w:val="32"/>
          <w:highlight w:val="none"/>
          <w:lang w:val="en-US" w:eastAsia="zh-CN"/>
        </w:rPr>
        <w:t>6）正确区别无胚乳和有胚乳种子形态结构</w:t>
      </w:r>
      <w:r>
        <w:rPr>
          <w:rFonts w:hint="eastAsia"/>
          <w:szCs w:val="32"/>
          <w:highlight w:val="none"/>
          <w:lang w:val="en-US" w:eastAsia="zh-CN"/>
        </w:rPr>
        <w:t>，填写表格。</w:t>
      </w:r>
    </w:p>
    <w:p w14:paraId="1ADD17F4">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color w:val="auto"/>
          <w:szCs w:val="32"/>
          <w:highlight w:val="none"/>
        </w:rPr>
      </w:pPr>
      <w:r>
        <w:rPr>
          <w:rFonts w:hint="eastAsia"/>
          <w:color w:val="auto"/>
          <w:szCs w:val="32"/>
          <w:highlight w:val="none"/>
        </w:rPr>
        <w:t>2.设备与材料</w:t>
      </w:r>
    </w:p>
    <w:p w14:paraId="458F1E74">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default"/>
          <w:color w:val="auto"/>
          <w:szCs w:val="32"/>
          <w:highlight w:val="none"/>
          <w:lang w:val="en-US"/>
        </w:rPr>
      </w:pPr>
      <w:r>
        <w:rPr>
          <w:rFonts w:hint="eastAsia"/>
          <w:color w:val="auto"/>
          <w:szCs w:val="32"/>
          <w:highlight w:val="none"/>
        </w:rPr>
        <w:t>放大镜、镊子、工具盘</w:t>
      </w:r>
      <w:r>
        <w:rPr>
          <w:rFonts w:hint="eastAsia"/>
          <w:color w:val="auto"/>
          <w:szCs w:val="32"/>
          <w:highlight w:val="none"/>
          <w:lang w:eastAsia="zh-CN"/>
        </w:rPr>
        <w:t>、</w:t>
      </w:r>
      <w:r>
        <w:rPr>
          <w:rFonts w:hint="eastAsia"/>
          <w:color w:val="auto"/>
          <w:szCs w:val="32"/>
          <w:highlight w:val="none"/>
          <w:lang w:val="en-US" w:eastAsia="zh-CN"/>
        </w:rPr>
        <w:t>浸泡的菜</w:t>
      </w:r>
      <w:r>
        <w:rPr>
          <w:rFonts w:hint="eastAsia"/>
          <w:color w:val="auto"/>
          <w:szCs w:val="32"/>
          <w:highlight w:val="none"/>
        </w:rPr>
        <w:t>豆、</w:t>
      </w:r>
      <w:r>
        <w:rPr>
          <w:rFonts w:hint="eastAsia"/>
          <w:color w:val="auto"/>
          <w:szCs w:val="32"/>
          <w:highlight w:val="none"/>
          <w:lang w:val="en-US" w:eastAsia="zh-CN"/>
        </w:rPr>
        <w:t>浸泡的番茄、解剖刀、解剖针；结球白菜、结球甘蓝、</w:t>
      </w:r>
      <w:r>
        <w:rPr>
          <w:rFonts w:hint="eastAsia"/>
          <w:color w:val="auto"/>
          <w:szCs w:val="32"/>
          <w:highlight w:val="none"/>
        </w:rPr>
        <w:t>辣椒、茄子、番茄、菜豆、</w:t>
      </w:r>
      <w:r>
        <w:rPr>
          <w:rFonts w:hint="eastAsia"/>
          <w:color w:val="auto"/>
          <w:szCs w:val="32"/>
          <w:highlight w:val="none"/>
          <w:lang w:val="en-US" w:eastAsia="zh-CN"/>
        </w:rPr>
        <w:t>豇豆、豌豆、</w:t>
      </w:r>
      <w:r>
        <w:rPr>
          <w:rFonts w:hint="eastAsia"/>
          <w:color w:val="auto"/>
          <w:szCs w:val="32"/>
          <w:highlight w:val="none"/>
        </w:rPr>
        <w:t>芹菜、韭菜、生菜、香菜、黄瓜、南瓜、</w:t>
      </w:r>
      <w:r>
        <w:rPr>
          <w:rFonts w:hint="eastAsia"/>
          <w:color w:val="auto"/>
          <w:szCs w:val="32"/>
          <w:highlight w:val="none"/>
          <w:lang w:val="en-US" w:eastAsia="zh-CN"/>
        </w:rPr>
        <w:t>大蒜、大葱、西瓜、甜瓜、萝卜、胡萝卜、牛蒡、花椰菜等蔬菜种子；菜</w:t>
      </w:r>
      <w:r>
        <w:rPr>
          <w:rFonts w:hint="eastAsia"/>
          <w:color w:val="auto"/>
          <w:szCs w:val="32"/>
          <w:highlight w:val="none"/>
        </w:rPr>
        <w:t>豆</w:t>
      </w:r>
      <w:r>
        <w:rPr>
          <w:rFonts w:hint="eastAsia"/>
          <w:color w:val="auto"/>
          <w:szCs w:val="32"/>
          <w:highlight w:val="none"/>
          <w:lang w:eastAsia="zh-CN"/>
        </w:rPr>
        <w:t>和</w:t>
      </w:r>
      <w:r>
        <w:rPr>
          <w:rFonts w:hint="eastAsia"/>
          <w:color w:val="auto"/>
          <w:szCs w:val="32"/>
          <w:highlight w:val="none"/>
          <w:lang w:val="en-US" w:eastAsia="zh-CN"/>
        </w:rPr>
        <w:t>番茄的种子形态结构图及形态结构比较表。</w:t>
      </w:r>
    </w:p>
    <w:p w14:paraId="3DC6CFC8">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color w:val="auto"/>
          <w:szCs w:val="32"/>
          <w:highlight w:val="none"/>
        </w:rPr>
      </w:pPr>
      <w:r>
        <w:rPr>
          <w:rFonts w:hint="eastAsia"/>
          <w:color w:val="auto"/>
          <w:szCs w:val="32"/>
          <w:highlight w:val="none"/>
        </w:rPr>
        <w:t>3.操作规范要求</w:t>
      </w:r>
    </w:p>
    <w:p w14:paraId="6D046C52">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（1）遵守实验室安全操作规范和文明生产要求，防止出现人身伤害。</w:t>
      </w:r>
    </w:p>
    <w:p w14:paraId="21068AC1">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（2）正确穿着佩戴个人防护用品。</w:t>
      </w:r>
    </w:p>
    <w:p w14:paraId="0C8A4057">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（3）仪器设备、工具、物品等摆放整齐。</w:t>
      </w:r>
    </w:p>
    <w:p w14:paraId="678B4283">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（4）操作过程中应保持设备与工具的清洁，保证工作场地整洁有序。</w:t>
      </w:r>
    </w:p>
    <w:p w14:paraId="6704224B">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（5）</w:t>
      </w:r>
      <w:r>
        <w:rPr>
          <w:rFonts w:hint="eastAsia"/>
          <w:color w:val="auto"/>
          <w:szCs w:val="32"/>
          <w:highlight w:val="none"/>
          <w:lang w:val="en-US" w:eastAsia="zh-CN"/>
        </w:rPr>
        <w:t>填写图表时，要求字迹工整，清晰。</w:t>
      </w:r>
    </w:p>
    <w:p w14:paraId="459EE0D9">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（6）做好参赛工位的清洁工作。</w:t>
      </w:r>
    </w:p>
    <w:p w14:paraId="6E95EC77">
      <w:pPr>
        <w:ind w:firstLine="240" w:firstLineChars="100"/>
      </w:pPr>
    </w:p>
    <w:p w14:paraId="2C60637F">
      <w:pPr>
        <w:ind w:firstLine="482" w:firstLineChars="200"/>
        <w:rPr>
          <w:b/>
          <w:bCs/>
          <w:highlight w:val="none"/>
        </w:rPr>
      </w:pPr>
      <w:r>
        <w:rPr>
          <w:rFonts w:hint="eastAsia"/>
          <w:b/>
          <w:bCs/>
          <w:highlight w:val="none"/>
        </w:rPr>
        <w:t>技能模块</w:t>
      </w:r>
      <w:r>
        <w:rPr>
          <w:rFonts w:hint="eastAsia"/>
          <w:b/>
          <w:bCs/>
          <w:highlight w:val="none"/>
          <w:lang w:eastAsia="zh-CN"/>
        </w:rPr>
        <w:t>3</w:t>
      </w:r>
      <w:r>
        <w:rPr>
          <w:rFonts w:hint="eastAsia"/>
          <w:b/>
          <w:bCs/>
          <w:highlight w:val="none"/>
          <w:lang w:val="en-US" w:eastAsia="zh-CN"/>
        </w:rPr>
        <w:t xml:space="preserve">  </w:t>
      </w:r>
      <w:r>
        <w:rPr>
          <w:rFonts w:hint="eastAsia"/>
          <w:b/>
          <w:bCs/>
          <w:highlight w:val="none"/>
        </w:rPr>
        <w:t>园艺植物病害虫害识别</w:t>
      </w:r>
    </w:p>
    <w:p w14:paraId="6C8C8B4F">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1.知识与技能</w:t>
      </w:r>
    </w:p>
    <w:p w14:paraId="07522CF7">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（1）病害名称识别及症状类型描述。</w:t>
      </w:r>
    </w:p>
    <w:p w14:paraId="0525A31B">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（2）病原类型识别及发病类型确定。</w:t>
      </w:r>
    </w:p>
    <w:p w14:paraId="1191C661">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（3）识别病原体或虫害种类。</w:t>
      </w:r>
    </w:p>
    <w:p w14:paraId="5E81A59C">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（4）病害传播途径及防治措施。</w:t>
      </w:r>
    </w:p>
    <w:p w14:paraId="12552150">
      <w:pPr>
        <w:keepNext w:val="0"/>
        <w:keepLines w:val="0"/>
        <w:pageBreakBefore w:val="0"/>
        <w:widowControl w:val="0"/>
        <w:kinsoku/>
        <w:wordWrap/>
        <w:overflowPunct/>
        <w:topLinePunct w:val="0"/>
        <w:autoSpaceDE/>
        <w:autoSpaceDN/>
        <w:bidi w:val="0"/>
        <w:adjustRightInd/>
        <w:snapToGrid/>
        <w:spacing w:line="240" w:lineRule="auto"/>
        <w:ind w:firstLine="480"/>
        <w:textAlignment w:val="auto"/>
      </w:pPr>
      <w:r>
        <w:rPr>
          <w:rFonts w:hint="eastAsia"/>
          <w:color w:val="auto"/>
          <w:szCs w:val="32"/>
          <w:highlight w:val="none"/>
        </w:rPr>
        <w:t>（5）虫害的传播途径及防治措施。</w:t>
      </w:r>
    </w:p>
    <w:p w14:paraId="71C9C939">
      <w:pPr>
        <w:ind w:firstLine="480" w:firstLineChars="200"/>
      </w:pPr>
      <w:r>
        <w:rPr>
          <w:rFonts w:hint="eastAsia"/>
        </w:rPr>
        <w:t>2.设备与材料</w:t>
      </w:r>
    </w:p>
    <w:p w14:paraId="77D8031C">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（1）放大镜。</w:t>
      </w:r>
    </w:p>
    <w:p w14:paraId="6DF56D9F">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2）病害标本或图片：黄瓜白粉病、黄瓜霜霉病、番茄灰霉病、辣椒炭疽病、菜豆锈病、番茄叶斑病、白菜黑斑病、芹菜斑枯病、大白菜软腐病、番茄病毒病、辣椒日灼病、月季黑斑病、君子兰软腐病、仙客来灰霉病、菊花褐斑病等。</w:t>
      </w:r>
    </w:p>
    <w:p w14:paraId="464E1E8C">
      <w:pPr>
        <w:keepNext w:val="0"/>
        <w:keepLines w:val="0"/>
        <w:pageBreakBefore w:val="0"/>
        <w:widowControl w:val="0"/>
        <w:kinsoku/>
        <w:wordWrap/>
        <w:overflowPunct/>
        <w:topLinePunct w:val="0"/>
        <w:autoSpaceDE/>
        <w:autoSpaceDN/>
        <w:bidi w:val="0"/>
        <w:adjustRightInd/>
        <w:snapToGrid/>
        <w:spacing w:line="240" w:lineRule="auto"/>
        <w:ind w:firstLine="480"/>
        <w:textAlignment w:val="auto"/>
      </w:pPr>
      <w:r>
        <w:rPr>
          <w:rFonts w:hint="eastAsia"/>
          <w:color w:val="auto"/>
          <w:szCs w:val="32"/>
          <w:highlight w:val="none"/>
        </w:rPr>
        <w:t>（3）害虫标本或图片：蝼蛄、潜蝇、马铃薯瓢虫、黄凤蝶（幼虫、成虫）、菜青虫、草地螟、小菜蛾（幼虫、成虫）、斑须蝽、蚜虫、菜蝽、蓟马、棉铃虫、黄刺蛾、金龟子、蚧壳虫、大猿叶甲</w:t>
      </w:r>
      <w:r>
        <w:rPr>
          <w:rFonts w:hint="eastAsia"/>
          <w:color w:val="auto"/>
          <w:szCs w:val="32"/>
          <w:highlight w:val="none"/>
          <w:lang w:eastAsia="zh-CN"/>
        </w:rPr>
        <w:t>、</w:t>
      </w:r>
      <w:r>
        <w:rPr>
          <w:rFonts w:hint="eastAsia"/>
          <w:color w:val="auto"/>
          <w:szCs w:val="32"/>
          <w:highlight w:val="none"/>
        </w:rPr>
        <w:t>温室白粉虱、星天牛、食心虫等。</w:t>
      </w:r>
    </w:p>
    <w:p w14:paraId="4A1A4D88">
      <w:pPr>
        <w:ind w:firstLine="480" w:firstLineChars="200"/>
      </w:pPr>
      <w:r>
        <w:rPr>
          <w:rFonts w:hint="eastAsia"/>
        </w:rPr>
        <w:t>3.操作规范要求</w:t>
      </w:r>
    </w:p>
    <w:p w14:paraId="09EFE2B7">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（1）考生需要熟悉不同园艺植物培育的基本知识和特点。</w:t>
      </w:r>
    </w:p>
    <w:p w14:paraId="46E11BB1">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（2）考生需掌握常见的园艺植物病虫害的特征，并能进行准确鉴定。</w:t>
      </w:r>
    </w:p>
    <w:p w14:paraId="00057993">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（3）考生应熟悉常见的病原体及其生物学特性，能够进行必要的病原鉴定。</w:t>
      </w:r>
    </w:p>
    <w:p w14:paraId="612D7BF7">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（4）考生应熟悉常见的病虫害传播途径及其防治措施。</w:t>
      </w:r>
    </w:p>
    <w:p w14:paraId="2917DB65">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（5）考生需要详细记录实验所用参数、检测结果和参考资料等，确保实验记录的准确性和完整性。</w:t>
      </w:r>
    </w:p>
    <w:p w14:paraId="3C1F2383">
      <w:pPr>
        <w:keepNext w:val="0"/>
        <w:keepLines w:val="0"/>
        <w:pageBreakBefore w:val="0"/>
        <w:widowControl w:val="0"/>
        <w:kinsoku/>
        <w:wordWrap/>
        <w:overflowPunct/>
        <w:topLinePunct w:val="0"/>
        <w:autoSpaceDE/>
        <w:autoSpaceDN/>
        <w:bidi w:val="0"/>
        <w:adjustRightInd/>
        <w:snapToGrid/>
        <w:spacing w:line="240" w:lineRule="auto"/>
        <w:ind w:firstLine="480"/>
        <w:textAlignment w:val="auto"/>
      </w:pPr>
      <w:r>
        <w:rPr>
          <w:rFonts w:hint="eastAsia"/>
          <w:color w:val="auto"/>
          <w:szCs w:val="32"/>
          <w:highlight w:val="none"/>
        </w:rPr>
        <w:t>（6）考核过程中，考核材料因考生原因受到破损等不予重新发放。</w:t>
      </w:r>
    </w:p>
    <w:p w14:paraId="6B7009F7">
      <w:pPr>
        <w:ind w:firstLine="240" w:firstLineChars="100"/>
      </w:pPr>
    </w:p>
    <w:p w14:paraId="3105A562">
      <w:pPr>
        <w:ind w:firstLine="482" w:firstLineChars="200"/>
        <w:rPr>
          <w:rFonts w:hint="eastAsia"/>
          <w:b/>
          <w:bCs/>
          <w:highlight w:val="none"/>
        </w:rPr>
      </w:pPr>
      <w:r>
        <w:rPr>
          <w:rFonts w:hint="eastAsia"/>
          <w:b/>
          <w:bCs/>
          <w:highlight w:val="none"/>
        </w:rPr>
        <w:t>技能模块</w:t>
      </w:r>
      <w:r>
        <w:rPr>
          <w:rFonts w:hint="eastAsia"/>
          <w:b/>
          <w:bCs/>
          <w:highlight w:val="none"/>
          <w:lang w:eastAsia="zh-CN"/>
        </w:rPr>
        <w:t>4</w:t>
      </w:r>
      <w:r>
        <w:rPr>
          <w:rFonts w:hint="eastAsia"/>
          <w:b/>
          <w:bCs/>
          <w:highlight w:val="none"/>
        </w:rPr>
        <w:t xml:space="preserve">  园艺植物分类识别</w:t>
      </w:r>
    </w:p>
    <w:p w14:paraId="3FF641FD">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1.知识与技能</w:t>
      </w:r>
    </w:p>
    <w:p w14:paraId="5FDC65D3">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（1）识别给定的</w:t>
      </w:r>
      <w:r>
        <w:rPr>
          <w:rFonts w:hint="eastAsia"/>
          <w:color w:val="auto"/>
          <w:szCs w:val="32"/>
          <w:highlight w:val="none"/>
          <w:lang w:val="en-US" w:eastAsia="zh-CN"/>
        </w:rPr>
        <w:t>园艺作物</w:t>
      </w:r>
      <w:r>
        <w:rPr>
          <w:rFonts w:hint="eastAsia"/>
          <w:color w:val="auto"/>
          <w:szCs w:val="32"/>
          <w:highlight w:val="none"/>
        </w:rPr>
        <w:t>的科名，例如</w:t>
      </w:r>
      <w:r>
        <w:rPr>
          <w:rFonts w:hint="eastAsia"/>
          <w:color w:val="auto"/>
          <w:szCs w:val="32"/>
          <w:highlight w:val="none"/>
          <w:lang w:val="en-US" w:eastAsia="zh-CN"/>
        </w:rPr>
        <w:t>十字花科、百合科</w:t>
      </w:r>
      <w:r>
        <w:rPr>
          <w:rFonts w:hint="eastAsia"/>
          <w:color w:val="auto"/>
          <w:szCs w:val="32"/>
          <w:highlight w:val="none"/>
        </w:rPr>
        <w:t>等。</w:t>
      </w:r>
    </w:p>
    <w:p w14:paraId="579DD119">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（2）识别给定的</w:t>
      </w:r>
      <w:r>
        <w:rPr>
          <w:rFonts w:hint="eastAsia"/>
          <w:color w:val="auto"/>
          <w:szCs w:val="32"/>
          <w:highlight w:val="none"/>
          <w:lang w:val="en-US" w:eastAsia="zh-CN"/>
        </w:rPr>
        <w:t>园艺作物</w:t>
      </w:r>
      <w:r>
        <w:rPr>
          <w:rFonts w:hint="eastAsia"/>
          <w:color w:val="auto"/>
          <w:szCs w:val="32"/>
          <w:highlight w:val="none"/>
        </w:rPr>
        <w:t>的种名，例如</w:t>
      </w:r>
      <w:r>
        <w:rPr>
          <w:rFonts w:hint="eastAsia"/>
          <w:color w:val="auto"/>
          <w:szCs w:val="32"/>
          <w:highlight w:val="none"/>
          <w:lang w:val="en-US" w:eastAsia="zh-CN"/>
        </w:rPr>
        <w:t>大蒜</w:t>
      </w:r>
      <w:r>
        <w:rPr>
          <w:rFonts w:hint="eastAsia"/>
          <w:color w:val="auto"/>
          <w:szCs w:val="32"/>
          <w:highlight w:val="none"/>
        </w:rPr>
        <w:t>、番茄等。</w:t>
      </w:r>
    </w:p>
    <w:p w14:paraId="68DEC5FB">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（3）识别给定的农田杂草的科名，例如禾本科、豆科等。</w:t>
      </w:r>
    </w:p>
    <w:p w14:paraId="29F617B4">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（4）识别给定的农田杂草的种名，例如稗草、牛膝草等。</w:t>
      </w:r>
    </w:p>
    <w:p w14:paraId="2C72FAC0">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（5）说明杂草防治方法</w:t>
      </w:r>
    </w:p>
    <w:p w14:paraId="2C8C2A4C">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2.设备与材料</w:t>
      </w:r>
    </w:p>
    <w:p w14:paraId="3A175195">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（1）放大镜。</w:t>
      </w:r>
    </w:p>
    <w:p w14:paraId="4C7E18BC">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（2）镊子。</w:t>
      </w:r>
    </w:p>
    <w:p w14:paraId="14FBB7E5">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（3）</w:t>
      </w:r>
      <w:r>
        <w:rPr>
          <w:rFonts w:hint="eastAsia"/>
          <w:color w:val="auto"/>
          <w:szCs w:val="32"/>
          <w:highlight w:val="none"/>
          <w:lang w:val="en-US" w:eastAsia="zh-CN"/>
        </w:rPr>
        <w:t>园艺作物</w:t>
      </w:r>
      <w:r>
        <w:rPr>
          <w:rFonts w:hint="eastAsia"/>
          <w:color w:val="auto"/>
          <w:szCs w:val="32"/>
          <w:highlight w:val="none"/>
        </w:rPr>
        <w:t>标本</w:t>
      </w:r>
      <w:r>
        <w:rPr>
          <w:rFonts w:hint="eastAsia"/>
          <w:color w:val="auto"/>
          <w:szCs w:val="32"/>
          <w:highlight w:val="none"/>
          <w:lang w:eastAsia="zh-CN"/>
        </w:rPr>
        <w:t>、</w:t>
      </w:r>
      <w:r>
        <w:rPr>
          <w:rFonts w:hint="eastAsia"/>
          <w:color w:val="auto"/>
          <w:szCs w:val="32"/>
          <w:highlight w:val="none"/>
          <w:lang w:val="en-US" w:eastAsia="zh-CN"/>
        </w:rPr>
        <w:t>实物</w:t>
      </w:r>
      <w:r>
        <w:rPr>
          <w:rFonts w:hint="eastAsia"/>
          <w:color w:val="auto"/>
          <w:szCs w:val="32"/>
          <w:highlight w:val="none"/>
        </w:rPr>
        <w:t>或图片：：结球白菜、花椰菜、花青菜、羽衣甘蓝、结球甘蓝、球茎甘蓝、芥菜、辣椒、茄子、番茄、菜豆、豇豆、豌豆、芹菜、韭菜、生菜、香菜、黄瓜、南瓜、大蒜、大葱、西瓜、甜瓜、萝卜、胡萝卜、牛蒡、花椰菜。</w:t>
      </w:r>
    </w:p>
    <w:p w14:paraId="208BBF13">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（4）</w:t>
      </w:r>
      <w:r>
        <w:rPr>
          <w:rFonts w:hint="eastAsia"/>
          <w:color w:val="auto"/>
          <w:szCs w:val="32"/>
          <w:highlight w:val="none"/>
          <w:lang w:val="en-US" w:eastAsia="zh-CN"/>
        </w:rPr>
        <w:t>农田</w:t>
      </w:r>
      <w:r>
        <w:rPr>
          <w:rFonts w:hint="eastAsia"/>
          <w:color w:val="auto"/>
          <w:szCs w:val="32"/>
          <w:highlight w:val="none"/>
        </w:rPr>
        <w:t>杂草标本或图片：问荆、狗尾草、鸭舌草、稗、刺菜、苦荬菜、反枝苋、眼子菜、芦苇、蒲公英、葎草、车前草、马唐、龙葵、野慈姑、牵牛花、藜、萹蓄、野燕麦、苍耳、马齿苋、猪毛菜。</w:t>
      </w:r>
    </w:p>
    <w:p w14:paraId="1A99E50D">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3.操作规范要求</w:t>
      </w:r>
    </w:p>
    <w:p w14:paraId="06D8BC3A">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（1）考生需要掌握基本的植物分类学知识，包括植物的分类等级、分类原则等。</w:t>
      </w:r>
    </w:p>
    <w:p w14:paraId="6B14BE3C">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（2）考生应熟悉植物分类识别的常用技巧，了解不同植物科属的典型特征和区别，准确识别植物的科属。</w:t>
      </w:r>
    </w:p>
    <w:p w14:paraId="2A765514">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（3）考生需熟练掌握数据的整理和分析能力，包括识别和记录植物特征数据、整理等。</w:t>
      </w:r>
    </w:p>
    <w:p w14:paraId="04EBB365">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（4）考核过程中，考核材料因考生原因受到破损等不予重新发放。</w:t>
      </w:r>
    </w:p>
    <w:p w14:paraId="2129F4ED">
      <w:pPr>
        <w:ind w:firstLine="240" w:firstLineChars="100"/>
      </w:pPr>
    </w:p>
    <w:p w14:paraId="485730FC">
      <w:pPr>
        <w:ind w:firstLine="482" w:firstLineChars="200"/>
        <w:rPr>
          <w:b/>
          <w:bCs/>
        </w:rPr>
      </w:pPr>
      <w:r>
        <w:rPr>
          <w:rFonts w:hint="eastAsia"/>
          <w:b/>
          <w:bCs/>
        </w:rPr>
        <w:t>技能模块</w:t>
      </w:r>
      <w:r>
        <w:rPr>
          <w:rFonts w:hint="eastAsia"/>
          <w:b/>
          <w:bCs/>
          <w:lang w:val="en-US" w:eastAsia="zh-CN"/>
        </w:rPr>
        <w:t>5</w:t>
      </w:r>
      <w:r>
        <w:rPr>
          <w:rFonts w:hint="eastAsia"/>
          <w:b/>
          <w:bCs/>
        </w:rPr>
        <w:t xml:space="preserve">  蔬菜种子播种前处理技术</w:t>
      </w:r>
    </w:p>
    <w:p w14:paraId="7F080285">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1.知识与技能</w:t>
      </w:r>
    </w:p>
    <w:p w14:paraId="747A5B6F">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（1）仔细检查种子的外观和质量，包括种子的大小、颜色、外观是否完整和健康，排除破损、变形、发霉或病虫害种子。</w:t>
      </w:r>
    </w:p>
    <w:p w14:paraId="02D6373D">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（2）仔细检查播种器具是否齐全、是否可正常使用。</w:t>
      </w:r>
    </w:p>
    <w:p w14:paraId="1299DAF6">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（3）根据不同蔬菜种子的大小、种皮厚度和硬度、浸种水温确定浸种时间。</w:t>
      </w:r>
    </w:p>
    <w:p w14:paraId="0E23FBB6">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（4）掌握温汤浸种的具体操作方法。</w:t>
      </w:r>
    </w:p>
    <w:p w14:paraId="534162E8">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（5）在进行种子处理过程中，注意安全操作规范，同时遵守环境保护要求。</w:t>
      </w:r>
    </w:p>
    <w:p w14:paraId="1847527D">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（6）种子温汤浸种后，依据种子的水分管理要求，如何处理种子表面的多余水分，避免过湿或过干的情况发生。</w:t>
      </w:r>
    </w:p>
    <w:p w14:paraId="5FDE405E">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2.设备与材料</w:t>
      </w:r>
    </w:p>
    <w:p w14:paraId="41BF7327">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lang w:val="en-US" w:eastAsia="zh-CN"/>
        </w:rPr>
        <w:t>恒温箱、</w:t>
      </w:r>
      <w:r>
        <w:rPr>
          <w:rFonts w:hint="eastAsia"/>
          <w:color w:val="auto"/>
          <w:szCs w:val="32"/>
          <w:highlight w:val="none"/>
        </w:rPr>
        <w:t>蔬菜种子、热水、容器、搅拌棒、温度计、清洁布。</w:t>
      </w:r>
    </w:p>
    <w:p w14:paraId="4EDF7809">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3.操作规范要求</w:t>
      </w:r>
    </w:p>
    <w:p w14:paraId="275D6F23">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（1）考生需熟悉不同蔬菜种子的特征和类型。</w:t>
      </w:r>
    </w:p>
    <w:p w14:paraId="2547E24E">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（2）考生需要掌握温汤浸种的原理和操作要点。</w:t>
      </w:r>
    </w:p>
    <w:p w14:paraId="706B58DE">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（3）考生需要掌握温汤处理的温度控制方法，确保温度适宜且稳定。</w:t>
      </w:r>
    </w:p>
    <w:p w14:paraId="0508F9D5">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（4）考生应了解种子温汤处理的时间控制要点，根据种子的特性和处理效果需求，确定合适的处理时间。</w:t>
      </w:r>
    </w:p>
    <w:p w14:paraId="7C6B814C">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（5）考生需熟悉温汤处理设备的构造和操作方法，能够正确操作设备并保证其正常运行。</w:t>
      </w:r>
    </w:p>
    <w:p w14:paraId="129FCADF">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（6）考生应注重环境和人员卫生管理，确保种子处理过程的卫生条件。</w:t>
      </w:r>
    </w:p>
    <w:p w14:paraId="1AE48120">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（7）考核过程中，考核材料因考生原因受到破损等不予重新发放。</w:t>
      </w:r>
    </w:p>
    <w:p w14:paraId="3D377593"/>
    <w:p w14:paraId="6435E687">
      <w:pPr>
        <w:ind w:firstLine="482" w:firstLineChars="200"/>
        <w:rPr>
          <w:b/>
          <w:bCs/>
        </w:rPr>
      </w:pPr>
      <w:r>
        <w:rPr>
          <w:rFonts w:hint="eastAsia"/>
          <w:b/>
          <w:bCs/>
        </w:rPr>
        <w:t>四、考核项目及权重</w:t>
      </w:r>
    </w:p>
    <w:p w14:paraId="16E5F8B0">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p>
    <w:p w14:paraId="2F97CD07">
      <w:pPr>
        <w:keepNext w:val="0"/>
        <w:keepLines w:val="0"/>
        <w:pageBreakBefore w:val="0"/>
        <w:widowControl w:val="0"/>
        <w:kinsoku/>
        <w:wordWrap/>
        <w:overflowPunct/>
        <w:topLinePunct w:val="0"/>
        <w:autoSpaceDE/>
        <w:autoSpaceDN/>
        <w:bidi w:val="0"/>
        <w:adjustRightInd/>
        <w:snapToGrid/>
        <w:spacing w:line="240" w:lineRule="auto"/>
        <w:ind w:firstLine="480"/>
        <w:textAlignment w:val="auto"/>
        <w:rPr>
          <w:rFonts w:hint="eastAsia"/>
          <w:color w:val="auto"/>
          <w:szCs w:val="32"/>
          <w:highlight w:val="none"/>
        </w:rPr>
      </w:pPr>
      <w:r>
        <w:rPr>
          <w:rFonts w:hint="eastAsia"/>
          <w:color w:val="auto"/>
          <w:szCs w:val="32"/>
          <w:highlight w:val="none"/>
        </w:rPr>
        <w:t>结合考试范围给定202</w:t>
      </w:r>
      <w:r>
        <w:rPr>
          <w:rFonts w:hint="eastAsia"/>
          <w:color w:val="auto"/>
          <w:szCs w:val="32"/>
          <w:highlight w:val="none"/>
          <w:lang w:val="en-US" w:eastAsia="zh-CN"/>
        </w:rPr>
        <w:t>5</w:t>
      </w:r>
      <w:r>
        <w:rPr>
          <w:rFonts w:hint="eastAsia"/>
          <w:color w:val="auto"/>
          <w:szCs w:val="32"/>
          <w:highlight w:val="none"/>
        </w:rPr>
        <w:t>年考核</w:t>
      </w:r>
      <w:r>
        <w:rPr>
          <w:rFonts w:hint="eastAsia"/>
          <w:color w:val="auto"/>
          <w:szCs w:val="32"/>
          <w:highlight w:val="none"/>
          <w:lang w:eastAsia="zh-CN"/>
        </w:rPr>
        <w:t>项目及权重</w:t>
      </w:r>
      <w:r>
        <w:rPr>
          <w:rFonts w:hint="eastAsia"/>
          <w:color w:val="auto"/>
          <w:szCs w:val="32"/>
          <w:highlight w:val="none"/>
        </w:rPr>
        <w:t>，如表</w:t>
      </w:r>
      <w:r>
        <w:rPr>
          <w:rFonts w:hint="eastAsia"/>
          <w:color w:val="auto"/>
          <w:szCs w:val="32"/>
          <w:highlight w:val="none"/>
          <w:lang w:val="en-US" w:eastAsia="zh-CN"/>
        </w:rPr>
        <w:t>1所示</w:t>
      </w:r>
      <w:r>
        <w:rPr>
          <w:rFonts w:hint="eastAsia"/>
          <w:color w:val="auto"/>
          <w:szCs w:val="32"/>
          <w:highlight w:val="none"/>
        </w:rPr>
        <w:t>。</w:t>
      </w:r>
      <w:bookmarkStart w:id="2" w:name="_GoBack"/>
      <w:bookmarkEnd w:id="2"/>
    </w:p>
    <w:p w14:paraId="1D93285B"/>
    <w:p w14:paraId="12601F0B">
      <w:pPr>
        <w:ind w:firstLine="2160" w:firstLineChars="900"/>
        <w:rPr>
          <w:rFonts w:hint="eastAsia" w:ascii="黑体" w:hAnsi="黑体" w:eastAsia="黑体" w:cs="黑体"/>
        </w:rPr>
      </w:pPr>
      <w:bookmarkStart w:id="1" w:name="_Hlk155348497"/>
      <w:r>
        <w:rPr>
          <w:rFonts w:hint="eastAsia" w:ascii="黑体" w:hAnsi="黑体" w:eastAsia="黑体" w:cs="黑体"/>
        </w:rPr>
        <w:t>表</w:t>
      </w:r>
      <w:r>
        <w:rPr>
          <w:rFonts w:hint="eastAsia" w:ascii="黑体" w:hAnsi="黑体" w:eastAsia="黑体" w:cs="黑体"/>
          <w:lang w:val="en-US" w:eastAsia="zh-CN"/>
        </w:rPr>
        <w:t xml:space="preserve">1  </w:t>
      </w:r>
      <w:r>
        <w:rPr>
          <w:rFonts w:hint="eastAsia" w:ascii="黑体" w:hAnsi="黑体" w:eastAsia="黑体" w:cs="黑体"/>
        </w:rPr>
        <w:t>202</w:t>
      </w:r>
      <w:r>
        <w:rPr>
          <w:rFonts w:hint="eastAsia" w:ascii="黑体" w:hAnsi="黑体" w:eastAsia="黑体" w:cs="黑体"/>
          <w:lang w:val="en-US" w:eastAsia="zh-CN"/>
        </w:rPr>
        <w:t>5</w:t>
      </w:r>
      <w:r>
        <w:rPr>
          <w:rFonts w:hint="eastAsia" w:ascii="黑体" w:hAnsi="黑体" w:eastAsia="黑体" w:cs="黑体"/>
        </w:rPr>
        <w:t>年考核项目及权重</w:t>
      </w:r>
    </w:p>
    <w:bookmarkEnd w:id="1"/>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1061"/>
        <w:gridCol w:w="843"/>
        <w:gridCol w:w="3110"/>
        <w:gridCol w:w="522"/>
        <w:gridCol w:w="583"/>
        <w:gridCol w:w="2667"/>
      </w:tblGrid>
      <w:tr w14:paraId="21B7A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blHeader/>
        </w:trPr>
        <w:tc>
          <w:tcPr>
            <w:tcW w:w="246" w:type="pct"/>
            <w:shd w:val="clear" w:color="auto" w:fill="D8D8D8" w:themeFill="background1" w:themeFillShade="D9"/>
            <w:vAlign w:val="center"/>
          </w:tcPr>
          <w:p w14:paraId="19919866">
            <w:pPr>
              <w:jc w:val="both"/>
            </w:pPr>
            <w:r>
              <w:rPr>
                <w:rFonts w:hint="eastAsia"/>
              </w:rPr>
              <w:t>序号</w:t>
            </w:r>
          </w:p>
        </w:tc>
        <w:tc>
          <w:tcPr>
            <w:tcW w:w="574" w:type="pct"/>
            <w:shd w:val="clear" w:color="auto" w:fill="D8D8D8" w:themeFill="background1" w:themeFillShade="D9"/>
            <w:vAlign w:val="center"/>
          </w:tcPr>
          <w:p w14:paraId="4FCB27BC">
            <w:pPr>
              <w:jc w:val="both"/>
            </w:pPr>
            <w:r>
              <w:rPr>
                <w:rFonts w:hint="eastAsia"/>
              </w:rPr>
              <w:t>考核项目</w:t>
            </w:r>
          </w:p>
        </w:tc>
        <w:tc>
          <w:tcPr>
            <w:tcW w:w="456" w:type="pct"/>
            <w:shd w:val="clear" w:color="auto" w:fill="D8D8D8" w:themeFill="background1" w:themeFillShade="D9"/>
            <w:vAlign w:val="center"/>
          </w:tcPr>
          <w:p w14:paraId="0629B3DF">
            <w:pPr>
              <w:jc w:val="both"/>
            </w:pPr>
            <w:r>
              <w:rPr>
                <w:rFonts w:hint="eastAsia"/>
              </w:rPr>
              <w:t>考核时间</w:t>
            </w:r>
          </w:p>
        </w:tc>
        <w:tc>
          <w:tcPr>
            <w:tcW w:w="1681" w:type="pct"/>
            <w:shd w:val="clear" w:color="auto" w:fill="D8D8D8" w:themeFill="background1" w:themeFillShade="D9"/>
            <w:vAlign w:val="center"/>
          </w:tcPr>
          <w:p w14:paraId="1452FCA6">
            <w:pPr>
              <w:jc w:val="both"/>
            </w:pPr>
            <w:r>
              <w:rPr>
                <w:rFonts w:hint="eastAsia"/>
              </w:rPr>
              <w:t>考核内容</w:t>
            </w:r>
          </w:p>
        </w:tc>
        <w:tc>
          <w:tcPr>
            <w:tcW w:w="597" w:type="pct"/>
            <w:gridSpan w:val="2"/>
            <w:shd w:val="clear" w:color="auto" w:fill="D8D8D8" w:themeFill="background1" w:themeFillShade="D9"/>
            <w:vAlign w:val="center"/>
          </w:tcPr>
          <w:p w14:paraId="2C62661E">
            <w:pPr>
              <w:jc w:val="both"/>
              <w:rPr>
                <w:rFonts w:hint="eastAsia" w:eastAsiaTheme="minorEastAsia"/>
                <w:lang w:eastAsia="zh-CN"/>
              </w:rPr>
            </w:pPr>
            <w:r>
              <w:rPr>
                <w:rFonts w:hint="eastAsia"/>
                <w:lang w:eastAsia="zh-CN"/>
              </w:rPr>
              <w:t>权重</w:t>
            </w:r>
          </w:p>
        </w:tc>
        <w:tc>
          <w:tcPr>
            <w:tcW w:w="1442" w:type="pct"/>
            <w:shd w:val="clear" w:color="auto" w:fill="D8D8D8" w:themeFill="background1" w:themeFillShade="D9"/>
            <w:vAlign w:val="center"/>
          </w:tcPr>
          <w:p w14:paraId="4D7585CA">
            <w:pPr>
              <w:jc w:val="both"/>
            </w:pPr>
            <w:r>
              <w:rPr>
                <w:rFonts w:hint="eastAsia"/>
              </w:rPr>
              <w:t>器材设备</w:t>
            </w:r>
          </w:p>
        </w:tc>
      </w:tr>
      <w:tr w14:paraId="5E211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46" w:type="pct"/>
            <w:vMerge w:val="restart"/>
            <w:vAlign w:val="center"/>
          </w:tcPr>
          <w:p w14:paraId="0DD4178E">
            <w:pPr>
              <w:jc w:val="both"/>
            </w:pPr>
            <w:r>
              <w:rPr>
                <w:rFonts w:hint="eastAsia"/>
              </w:rPr>
              <w:t>1</w:t>
            </w:r>
          </w:p>
        </w:tc>
        <w:tc>
          <w:tcPr>
            <w:tcW w:w="574" w:type="pct"/>
            <w:vMerge w:val="restart"/>
            <w:vAlign w:val="center"/>
          </w:tcPr>
          <w:p w14:paraId="73F66EAE">
            <w:pPr>
              <w:jc w:val="both"/>
              <w:rPr>
                <w:rFonts w:ascii="方正书宋简体" w:hAnsi="方正书宋简体" w:eastAsia="方正书宋简体" w:cs="方正书宋简体"/>
                <w:szCs w:val="21"/>
              </w:rPr>
            </w:pPr>
            <w:r>
              <w:rPr>
                <w:rFonts w:hint="eastAsia"/>
              </w:rPr>
              <w:t>生物显微镜使用</w:t>
            </w:r>
          </w:p>
        </w:tc>
        <w:tc>
          <w:tcPr>
            <w:tcW w:w="456" w:type="pct"/>
            <w:vMerge w:val="restart"/>
            <w:vAlign w:val="center"/>
          </w:tcPr>
          <w:p w14:paraId="67FA24EF">
            <w:pPr>
              <w:jc w:val="both"/>
              <w:rPr>
                <w:rFonts w:ascii="方正书宋简体" w:hAnsi="方正书宋简体" w:eastAsia="方正书宋简体" w:cs="方正书宋简体"/>
                <w:szCs w:val="21"/>
              </w:rPr>
            </w:pPr>
            <w:r>
              <w:rPr>
                <w:rFonts w:hint="eastAsia"/>
              </w:rPr>
              <w:t>30min</w:t>
            </w:r>
          </w:p>
        </w:tc>
        <w:tc>
          <w:tcPr>
            <w:tcW w:w="1681" w:type="pct"/>
            <w:vAlign w:val="center"/>
          </w:tcPr>
          <w:p w14:paraId="430D618C">
            <w:pPr>
              <w:jc w:val="both"/>
              <w:rPr>
                <w:szCs w:val="21"/>
              </w:rPr>
            </w:pPr>
            <w:r>
              <w:rPr>
                <w:rFonts w:hint="eastAsia"/>
              </w:rPr>
              <w:t>1.考核前仪器检查</w:t>
            </w:r>
          </w:p>
        </w:tc>
        <w:tc>
          <w:tcPr>
            <w:tcW w:w="282" w:type="pct"/>
            <w:vAlign w:val="center"/>
          </w:tcPr>
          <w:p w14:paraId="65BB3F6B">
            <w:pPr>
              <w:jc w:val="both"/>
              <w:rPr>
                <w:rFonts w:ascii="方正书宋简体" w:hAnsi="方正书宋简体" w:eastAsia="方正书宋简体" w:cs="方正书宋简体"/>
                <w:szCs w:val="21"/>
              </w:rPr>
            </w:pPr>
            <w:r>
              <w:rPr>
                <w:rFonts w:hint="eastAsia"/>
              </w:rPr>
              <w:t>20</w:t>
            </w:r>
          </w:p>
        </w:tc>
        <w:tc>
          <w:tcPr>
            <w:tcW w:w="314" w:type="pct"/>
            <w:vMerge w:val="restart"/>
            <w:vAlign w:val="center"/>
          </w:tcPr>
          <w:p w14:paraId="32F3150E">
            <w:pPr>
              <w:jc w:val="both"/>
            </w:pPr>
            <w:r>
              <w:rPr>
                <w:rFonts w:hint="eastAsia"/>
              </w:rPr>
              <w:t>200</w:t>
            </w:r>
          </w:p>
        </w:tc>
        <w:tc>
          <w:tcPr>
            <w:tcW w:w="1442" w:type="pct"/>
            <w:vMerge w:val="restart"/>
            <w:vAlign w:val="center"/>
          </w:tcPr>
          <w:p w14:paraId="0D6775E4">
            <w:pPr>
              <w:jc w:val="both"/>
              <w:rPr>
                <w:rFonts w:hint="eastAsia" w:eastAsiaTheme="minorEastAsia"/>
                <w:lang w:eastAsia="zh-CN"/>
              </w:rPr>
            </w:pPr>
            <w:r>
              <w:rPr>
                <w:rFonts w:hint="eastAsia"/>
              </w:rPr>
              <w:t>显微镜</w:t>
            </w:r>
            <w:r>
              <w:rPr>
                <w:rFonts w:hint="eastAsia"/>
                <w:lang w:eastAsia="zh-CN"/>
              </w:rPr>
              <w:t>；</w:t>
            </w:r>
          </w:p>
          <w:p w14:paraId="4C6FACA0">
            <w:pPr>
              <w:jc w:val="both"/>
              <w:rPr>
                <w:rFonts w:hint="eastAsia" w:eastAsiaTheme="minorEastAsia"/>
                <w:lang w:eastAsia="zh-CN"/>
              </w:rPr>
            </w:pPr>
            <w:r>
              <w:rPr>
                <w:rFonts w:hint="eastAsia"/>
              </w:rPr>
              <w:t>玻片：菊叶表皮玻片、洋葱根尖纵切玻片、芹菜叶柄横切玻片、大丽花叶柄横切玻片、南瓜茎纵切玻片、洋葱叶表皮玻片、银杏幼果横切玻片等</w:t>
            </w:r>
            <w:r>
              <w:rPr>
                <w:rFonts w:hint="eastAsia"/>
                <w:lang w:eastAsia="zh-CN"/>
              </w:rPr>
              <w:t>；</w:t>
            </w:r>
          </w:p>
          <w:p w14:paraId="6EDD61D0">
            <w:pPr>
              <w:jc w:val="both"/>
              <w:rPr>
                <w:rFonts w:hint="eastAsia" w:eastAsiaTheme="minorEastAsia"/>
                <w:lang w:eastAsia="zh-CN"/>
              </w:rPr>
            </w:pPr>
            <w:r>
              <w:rPr>
                <w:rFonts w:hint="eastAsia"/>
              </w:rPr>
              <w:t>记录本和笔；如酒精棉、纸巾等；滴管、吸水管等</w:t>
            </w:r>
          </w:p>
        </w:tc>
      </w:tr>
      <w:tr w14:paraId="715DF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46" w:type="pct"/>
            <w:vMerge w:val="continue"/>
            <w:vAlign w:val="center"/>
          </w:tcPr>
          <w:p w14:paraId="500D8F7C">
            <w:pPr>
              <w:jc w:val="both"/>
            </w:pPr>
          </w:p>
        </w:tc>
        <w:tc>
          <w:tcPr>
            <w:tcW w:w="574" w:type="pct"/>
            <w:vMerge w:val="continue"/>
            <w:vAlign w:val="center"/>
          </w:tcPr>
          <w:p w14:paraId="022DBC37">
            <w:pPr>
              <w:jc w:val="both"/>
            </w:pPr>
          </w:p>
        </w:tc>
        <w:tc>
          <w:tcPr>
            <w:tcW w:w="456" w:type="pct"/>
            <w:vMerge w:val="continue"/>
            <w:vAlign w:val="center"/>
          </w:tcPr>
          <w:p w14:paraId="22D0FE78">
            <w:pPr>
              <w:jc w:val="both"/>
            </w:pPr>
          </w:p>
        </w:tc>
        <w:tc>
          <w:tcPr>
            <w:tcW w:w="1681" w:type="pct"/>
            <w:vAlign w:val="center"/>
          </w:tcPr>
          <w:p w14:paraId="2C69382C">
            <w:pPr>
              <w:jc w:val="both"/>
              <w:rPr>
                <w:szCs w:val="21"/>
              </w:rPr>
            </w:pPr>
            <w:r>
              <w:rPr>
                <w:rFonts w:hint="eastAsia"/>
              </w:rPr>
              <w:t>2.样品准备</w:t>
            </w:r>
          </w:p>
        </w:tc>
        <w:tc>
          <w:tcPr>
            <w:tcW w:w="282" w:type="pct"/>
            <w:vAlign w:val="center"/>
          </w:tcPr>
          <w:p w14:paraId="319BCA73">
            <w:pPr>
              <w:jc w:val="both"/>
              <w:rPr>
                <w:rFonts w:ascii="方正书宋简体" w:hAnsi="方正书宋简体" w:eastAsia="方正书宋简体" w:cs="方正书宋简体"/>
                <w:szCs w:val="21"/>
              </w:rPr>
            </w:pPr>
            <w:r>
              <w:rPr>
                <w:rFonts w:hint="eastAsia"/>
              </w:rPr>
              <w:t>20</w:t>
            </w:r>
          </w:p>
        </w:tc>
        <w:tc>
          <w:tcPr>
            <w:tcW w:w="314" w:type="pct"/>
            <w:vMerge w:val="continue"/>
            <w:vAlign w:val="center"/>
          </w:tcPr>
          <w:p w14:paraId="29ACD401">
            <w:pPr>
              <w:jc w:val="both"/>
            </w:pPr>
          </w:p>
        </w:tc>
        <w:tc>
          <w:tcPr>
            <w:tcW w:w="1442" w:type="pct"/>
            <w:vMerge w:val="continue"/>
            <w:vAlign w:val="center"/>
          </w:tcPr>
          <w:p w14:paraId="03614B58">
            <w:pPr>
              <w:jc w:val="both"/>
            </w:pPr>
          </w:p>
        </w:tc>
      </w:tr>
      <w:tr w14:paraId="300F2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46" w:type="pct"/>
            <w:vMerge w:val="continue"/>
            <w:vAlign w:val="center"/>
          </w:tcPr>
          <w:p w14:paraId="292B82CB">
            <w:pPr>
              <w:jc w:val="both"/>
            </w:pPr>
          </w:p>
        </w:tc>
        <w:tc>
          <w:tcPr>
            <w:tcW w:w="574" w:type="pct"/>
            <w:vMerge w:val="continue"/>
            <w:vAlign w:val="center"/>
          </w:tcPr>
          <w:p w14:paraId="3F4AA88B">
            <w:pPr>
              <w:jc w:val="both"/>
            </w:pPr>
          </w:p>
        </w:tc>
        <w:tc>
          <w:tcPr>
            <w:tcW w:w="456" w:type="pct"/>
            <w:vMerge w:val="continue"/>
            <w:vAlign w:val="center"/>
          </w:tcPr>
          <w:p w14:paraId="7329C77B">
            <w:pPr>
              <w:jc w:val="both"/>
            </w:pPr>
          </w:p>
        </w:tc>
        <w:tc>
          <w:tcPr>
            <w:tcW w:w="1681" w:type="pct"/>
            <w:vAlign w:val="center"/>
          </w:tcPr>
          <w:p w14:paraId="1BDAD62D">
            <w:pPr>
              <w:jc w:val="both"/>
              <w:rPr>
                <w:rFonts w:hAnsi="宋体"/>
                <w:szCs w:val="21"/>
              </w:rPr>
            </w:pPr>
            <w:r>
              <w:rPr>
                <w:rFonts w:hint="eastAsia"/>
              </w:rPr>
              <w:t>3.物镜选择和调整</w:t>
            </w:r>
          </w:p>
        </w:tc>
        <w:tc>
          <w:tcPr>
            <w:tcW w:w="282" w:type="pct"/>
            <w:vAlign w:val="center"/>
          </w:tcPr>
          <w:p w14:paraId="2F83BFFA">
            <w:pPr>
              <w:jc w:val="both"/>
              <w:rPr>
                <w:rFonts w:ascii="方正书宋简体" w:hAnsi="方正书宋简体" w:eastAsia="方正书宋简体" w:cs="方正书宋简体"/>
                <w:szCs w:val="21"/>
              </w:rPr>
            </w:pPr>
            <w:r>
              <w:rPr>
                <w:rFonts w:hint="eastAsia"/>
              </w:rPr>
              <w:t>40</w:t>
            </w:r>
          </w:p>
        </w:tc>
        <w:tc>
          <w:tcPr>
            <w:tcW w:w="314" w:type="pct"/>
            <w:vMerge w:val="continue"/>
            <w:vAlign w:val="center"/>
          </w:tcPr>
          <w:p w14:paraId="2EFDD3FF">
            <w:pPr>
              <w:jc w:val="both"/>
            </w:pPr>
          </w:p>
        </w:tc>
        <w:tc>
          <w:tcPr>
            <w:tcW w:w="1442" w:type="pct"/>
            <w:vMerge w:val="continue"/>
            <w:vAlign w:val="center"/>
          </w:tcPr>
          <w:p w14:paraId="762C4A88">
            <w:pPr>
              <w:jc w:val="both"/>
            </w:pPr>
          </w:p>
        </w:tc>
      </w:tr>
      <w:tr w14:paraId="4CB09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246" w:type="pct"/>
            <w:vMerge w:val="continue"/>
            <w:vAlign w:val="center"/>
          </w:tcPr>
          <w:p w14:paraId="1C6BCB68">
            <w:pPr>
              <w:jc w:val="both"/>
            </w:pPr>
          </w:p>
        </w:tc>
        <w:tc>
          <w:tcPr>
            <w:tcW w:w="574" w:type="pct"/>
            <w:vMerge w:val="continue"/>
            <w:vAlign w:val="center"/>
          </w:tcPr>
          <w:p w14:paraId="7397C7A1">
            <w:pPr>
              <w:jc w:val="both"/>
            </w:pPr>
          </w:p>
        </w:tc>
        <w:tc>
          <w:tcPr>
            <w:tcW w:w="456" w:type="pct"/>
            <w:vMerge w:val="continue"/>
            <w:vAlign w:val="center"/>
          </w:tcPr>
          <w:p w14:paraId="3B3C7249">
            <w:pPr>
              <w:jc w:val="both"/>
            </w:pPr>
          </w:p>
        </w:tc>
        <w:tc>
          <w:tcPr>
            <w:tcW w:w="1681" w:type="pct"/>
            <w:vAlign w:val="center"/>
          </w:tcPr>
          <w:p w14:paraId="28A0722F">
            <w:pPr>
              <w:jc w:val="both"/>
              <w:rPr>
                <w:szCs w:val="21"/>
              </w:rPr>
            </w:pPr>
            <w:r>
              <w:rPr>
                <w:rFonts w:hint="eastAsia"/>
              </w:rPr>
              <w:t>4.观察调节</w:t>
            </w:r>
          </w:p>
        </w:tc>
        <w:tc>
          <w:tcPr>
            <w:tcW w:w="282" w:type="pct"/>
            <w:vAlign w:val="center"/>
          </w:tcPr>
          <w:p w14:paraId="12213916">
            <w:pPr>
              <w:jc w:val="both"/>
              <w:rPr>
                <w:rFonts w:ascii="方正书宋简体" w:hAnsi="方正书宋简体" w:eastAsia="方正书宋简体" w:cs="方正书宋简体"/>
                <w:szCs w:val="21"/>
              </w:rPr>
            </w:pPr>
            <w:r>
              <w:rPr>
                <w:rFonts w:hint="eastAsia"/>
              </w:rPr>
              <w:t>40</w:t>
            </w:r>
          </w:p>
        </w:tc>
        <w:tc>
          <w:tcPr>
            <w:tcW w:w="314" w:type="pct"/>
            <w:vMerge w:val="continue"/>
            <w:vAlign w:val="center"/>
          </w:tcPr>
          <w:p w14:paraId="6D6F2A14">
            <w:pPr>
              <w:jc w:val="both"/>
            </w:pPr>
          </w:p>
        </w:tc>
        <w:tc>
          <w:tcPr>
            <w:tcW w:w="1442" w:type="pct"/>
            <w:vMerge w:val="continue"/>
            <w:vAlign w:val="center"/>
          </w:tcPr>
          <w:p w14:paraId="00CE63B5">
            <w:pPr>
              <w:jc w:val="both"/>
            </w:pPr>
          </w:p>
        </w:tc>
      </w:tr>
      <w:tr w14:paraId="33911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46" w:type="pct"/>
            <w:vMerge w:val="continue"/>
            <w:vAlign w:val="center"/>
          </w:tcPr>
          <w:p w14:paraId="66445A24">
            <w:pPr>
              <w:jc w:val="both"/>
            </w:pPr>
          </w:p>
        </w:tc>
        <w:tc>
          <w:tcPr>
            <w:tcW w:w="574" w:type="pct"/>
            <w:vMerge w:val="continue"/>
            <w:vAlign w:val="center"/>
          </w:tcPr>
          <w:p w14:paraId="22722DED">
            <w:pPr>
              <w:jc w:val="both"/>
            </w:pPr>
          </w:p>
        </w:tc>
        <w:tc>
          <w:tcPr>
            <w:tcW w:w="456" w:type="pct"/>
            <w:vMerge w:val="continue"/>
            <w:vAlign w:val="center"/>
          </w:tcPr>
          <w:p w14:paraId="14DDE030">
            <w:pPr>
              <w:jc w:val="both"/>
            </w:pPr>
          </w:p>
        </w:tc>
        <w:tc>
          <w:tcPr>
            <w:tcW w:w="1681" w:type="pct"/>
            <w:vAlign w:val="center"/>
          </w:tcPr>
          <w:p w14:paraId="39576204">
            <w:pPr>
              <w:jc w:val="both"/>
              <w:rPr>
                <w:szCs w:val="21"/>
              </w:rPr>
            </w:pPr>
            <w:r>
              <w:rPr>
                <w:rFonts w:hint="eastAsia"/>
              </w:rPr>
              <w:t>5.记录</w:t>
            </w:r>
          </w:p>
        </w:tc>
        <w:tc>
          <w:tcPr>
            <w:tcW w:w="282" w:type="pct"/>
            <w:vAlign w:val="center"/>
          </w:tcPr>
          <w:p w14:paraId="7E3D95CB">
            <w:pPr>
              <w:jc w:val="both"/>
              <w:rPr>
                <w:rFonts w:ascii="方正书宋简体" w:hAnsi="方正书宋简体" w:eastAsia="方正书宋简体" w:cs="方正书宋简体"/>
                <w:szCs w:val="21"/>
              </w:rPr>
            </w:pPr>
            <w:r>
              <w:rPr>
                <w:rFonts w:hint="eastAsia"/>
              </w:rPr>
              <w:t>40</w:t>
            </w:r>
          </w:p>
        </w:tc>
        <w:tc>
          <w:tcPr>
            <w:tcW w:w="314" w:type="pct"/>
            <w:vMerge w:val="continue"/>
            <w:vAlign w:val="center"/>
          </w:tcPr>
          <w:p w14:paraId="04ECAD47">
            <w:pPr>
              <w:jc w:val="both"/>
            </w:pPr>
          </w:p>
        </w:tc>
        <w:tc>
          <w:tcPr>
            <w:tcW w:w="1442" w:type="pct"/>
            <w:vMerge w:val="continue"/>
            <w:vAlign w:val="center"/>
          </w:tcPr>
          <w:p w14:paraId="15A81B4C">
            <w:pPr>
              <w:jc w:val="both"/>
            </w:pPr>
          </w:p>
        </w:tc>
      </w:tr>
      <w:tr w14:paraId="7D26A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246" w:type="pct"/>
            <w:vMerge w:val="continue"/>
            <w:vAlign w:val="center"/>
          </w:tcPr>
          <w:p w14:paraId="505B7E0B">
            <w:pPr>
              <w:jc w:val="both"/>
            </w:pPr>
          </w:p>
        </w:tc>
        <w:tc>
          <w:tcPr>
            <w:tcW w:w="574" w:type="pct"/>
            <w:vMerge w:val="continue"/>
            <w:vAlign w:val="center"/>
          </w:tcPr>
          <w:p w14:paraId="6502A608">
            <w:pPr>
              <w:jc w:val="both"/>
            </w:pPr>
          </w:p>
        </w:tc>
        <w:tc>
          <w:tcPr>
            <w:tcW w:w="456" w:type="pct"/>
            <w:vMerge w:val="continue"/>
            <w:vAlign w:val="center"/>
          </w:tcPr>
          <w:p w14:paraId="12E445C5">
            <w:pPr>
              <w:jc w:val="both"/>
            </w:pPr>
          </w:p>
        </w:tc>
        <w:tc>
          <w:tcPr>
            <w:tcW w:w="1681" w:type="pct"/>
            <w:vAlign w:val="center"/>
          </w:tcPr>
          <w:p w14:paraId="4EFED2A4">
            <w:pPr>
              <w:jc w:val="both"/>
              <w:rPr>
                <w:szCs w:val="21"/>
              </w:rPr>
            </w:pPr>
            <w:r>
              <w:rPr>
                <w:rFonts w:hint="eastAsia"/>
              </w:rPr>
              <w:t>6.仪器维护和清洁</w:t>
            </w:r>
          </w:p>
        </w:tc>
        <w:tc>
          <w:tcPr>
            <w:tcW w:w="282" w:type="pct"/>
            <w:vAlign w:val="center"/>
          </w:tcPr>
          <w:p w14:paraId="3D3FD81D">
            <w:pPr>
              <w:jc w:val="both"/>
              <w:rPr>
                <w:rFonts w:ascii="方正书宋简体" w:hAnsi="方正书宋简体" w:eastAsia="方正书宋简体" w:cs="方正书宋简体"/>
                <w:szCs w:val="21"/>
              </w:rPr>
            </w:pPr>
            <w:r>
              <w:rPr>
                <w:rFonts w:hint="eastAsia"/>
              </w:rPr>
              <w:t>20</w:t>
            </w:r>
          </w:p>
        </w:tc>
        <w:tc>
          <w:tcPr>
            <w:tcW w:w="314" w:type="pct"/>
            <w:vMerge w:val="continue"/>
            <w:vAlign w:val="center"/>
          </w:tcPr>
          <w:p w14:paraId="42CAF75F">
            <w:pPr>
              <w:jc w:val="both"/>
            </w:pPr>
          </w:p>
        </w:tc>
        <w:tc>
          <w:tcPr>
            <w:tcW w:w="1442" w:type="pct"/>
            <w:vMerge w:val="continue"/>
            <w:vAlign w:val="center"/>
          </w:tcPr>
          <w:p w14:paraId="7065F6B1">
            <w:pPr>
              <w:jc w:val="both"/>
            </w:pPr>
          </w:p>
        </w:tc>
      </w:tr>
      <w:tr w14:paraId="7D014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46" w:type="pct"/>
            <w:vMerge w:val="continue"/>
            <w:vAlign w:val="center"/>
          </w:tcPr>
          <w:p w14:paraId="64F897B9">
            <w:pPr>
              <w:jc w:val="both"/>
            </w:pPr>
          </w:p>
        </w:tc>
        <w:tc>
          <w:tcPr>
            <w:tcW w:w="574" w:type="pct"/>
            <w:vMerge w:val="continue"/>
            <w:vAlign w:val="center"/>
          </w:tcPr>
          <w:p w14:paraId="15E29DE5">
            <w:pPr>
              <w:jc w:val="both"/>
            </w:pPr>
          </w:p>
        </w:tc>
        <w:tc>
          <w:tcPr>
            <w:tcW w:w="456" w:type="pct"/>
            <w:vMerge w:val="continue"/>
            <w:vAlign w:val="center"/>
          </w:tcPr>
          <w:p w14:paraId="6DBFE907">
            <w:pPr>
              <w:jc w:val="both"/>
            </w:pPr>
          </w:p>
        </w:tc>
        <w:tc>
          <w:tcPr>
            <w:tcW w:w="1681" w:type="pct"/>
            <w:vAlign w:val="center"/>
          </w:tcPr>
          <w:p w14:paraId="47E273F5">
            <w:pPr>
              <w:jc w:val="both"/>
              <w:rPr>
                <w:szCs w:val="21"/>
              </w:rPr>
            </w:pPr>
            <w:r>
              <w:rPr>
                <w:rFonts w:hint="eastAsia"/>
              </w:rPr>
              <w:t>7. 安全操作</w:t>
            </w:r>
          </w:p>
        </w:tc>
        <w:tc>
          <w:tcPr>
            <w:tcW w:w="282" w:type="pct"/>
            <w:vAlign w:val="center"/>
          </w:tcPr>
          <w:p w14:paraId="3DE826DD">
            <w:pPr>
              <w:jc w:val="both"/>
              <w:rPr>
                <w:rFonts w:ascii="方正书宋简体" w:hAnsi="方正书宋简体" w:eastAsia="方正书宋简体" w:cs="方正书宋简体"/>
                <w:szCs w:val="21"/>
              </w:rPr>
            </w:pPr>
            <w:r>
              <w:rPr>
                <w:rFonts w:hint="eastAsia"/>
              </w:rPr>
              <w:t>20</w:t>
            </w:r>
          </w:p>
        </w:tc>
        <w:tc>
          <w:tcPr>
            <w:tcW w:w="314" w:type="pct"/>
            <w:vMerge w:val="continue"/>
            <w:vAlign w:val="center"/>
          </w:tcPr>
          <w:p w14:paraId="2B794AF9">
            <w:pPr>
              <w:jc w:val="both"/>
            </w:pPr>
          </w:p>
        </w:tc>
        <w:tc>
          <w:tcPr>
            <w:tcW w:w="1442" w:type="pct"/>
            <w:vMerge w:val="continue"/>
            <w:vAlign w:val="center"/>
          </w:tcPr>
          <w:p w14:paraId="0E6915FB">
            <w:pPr>
              <w:jc w:val="both"/>
            </w:pPr>
          </w:p>
        </w:tc>
      </w:tr>
      <w:tr w14:paraId="36A2E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246" w:type="pct"/>
            <w:vMerge w:val="restart"/>
            <w:vAlign w:val="center"/>
          </w:tcPr>
          <w:p w14:paraId="2AF04CA0">
            <w:pPr>
              <w:jc w:val="both"/>
            </w:pPr>
            <w:r>
              <w:rPr>
                <w:rFonts w:hint="eastAsia"/>
              </w:rPr>
              <w:t>2</w:t>
            </w:r>
          </w:p>
        </w:tc>
        <w:tc>
          <w:tcPr>
            <w:tcW w:w="574" w:type="pct"/>
            <w:vMerge w:val="restart"/>
            <w:vAlign w:val="center"/>
          </w:tcPr>
          <w:p w14:paraId="5BF3E209">
            <w:pPr>
              <w:jc w:val="both"/>
            </w:pPr>
            <w:r>
              <w:rPr>
                <w:rFonts w:hint="eastAsia"/>
                <w:lang w:val="en-US" w:eastAsia="zh-CN"/>
              </w:rPr>
              <w:t>蔬菜种子识别</w:t>
            </w:r>
          </w:p>
        </w:tc>
        <w:tc>
          <w:tcPr>
            <w:tcW w:w="456" w:type="pct"/>
            <w:vMerge w:val="restart"/>
            <w:vAlign w:val="center"/>
          </w:tcPr>
          <w:p w14:paraId="254554EF">
            <w:pPr>
              <w:jc w:val="both"/>
            </w:pPr>
            <w:r>
              <w:rPr>
                <w:rFonts w:hint="eastAsia"/>
              </w:rPr>
              <w:t>30min</w:t>
            </w:r>
          </w:p>
        </w:tc>
        <w:tc>
          <w:tcPr>
            <w:tcW w:w="1681" w:type="pct"/>
            <w:shd w:val="clear" w:color="auto" w:fill="auto"/>
            <w:vAlign w:val="center"/>
          </w:tcPr>
          <w:p w14:paraId="0AE70937">
            <w:pPr>
              <w:numPr>
                <w:ilvl w:val="0"/>
                <w:numId w:val="0"/>
              </w:numPr>
              <w:spacing w:line="360" w:lineRule="exact"/>
              <w:ind w:leftChars="0"/>
              <w:jc w:val="both"/>
              <w:rPr>
                <w:rFonts w:hint="eastAsia" w:ascii="方正书宋简体" w:hAnsi="方正书宋简体" w:eastAsia="方正书宋简体" w:cs="方正书宋简体"/>
                <w:szCs w:val="21"/>
                <w:lang w:val="en-US" w:eastAsia="zh-CN"/>
              </w:rPr>
            </w:pPr>
            <w:r>
              <w:rPr>
                <w:rFonts w:hint="eastAsia" w:ascii="方正书宋简体" w:hAnsi="方正书宋简体" w:eastAsia="方正书宋简体" w:cs="方正书宋简体"/>
                <w:szCs w:val="21"/>
                <w:lang w:val="en-US" w:eastAsia="zh-CN"/>
              </w:rPr>
              <w:t>1.正确识别20种蔬菜种子</w:t>
            </w:r>
            <w:r>
              <w:rPr>
                <w:rFonts w:hint="eastAsia" w:ascii="仿宋" w:hAnsi="仿宋" w:eastAsia="仿宋" w:cs="仿宋"/>
                <w:sz w:val="24"/>
              </w:rPr>
              <w:t>，</w:t>
            </w:r>
            <w:r>
              <w:rPr>
                <w:rFonts w:hint="eastAsia" w:ascii="方正书宋简体" w:hAnsi="方正书宋简体" w:eastAsia="方正书宋简体" w:cs="方正书宋简体"/>
                <w:szCs w:val="21"/>
                <w:lang w:val="en-US" w:eastAsia="zh-CN"/>
              </w:rPr>
              <w:t>指出该蔬菜所属的科</w:t>
            </w:r>
          </w:p>
        </w:tc>
        <w:tc>
          <w:tcPr>
            <w:tcW w:w="282" w:type="pct"/>
            <w:shd w:val="clear" w:color="auto" w:fill="auto"/>
            <w:vAlign w:val="center"/>
          </w:tcPr>
          <w:p w14:paraId="7A95E89F">
            <w:pPr>
              <w:jc w:val="both"/>
              <w:rPr>
                <w:rFonts w:ascii="方正书宋简体" w:hAnsi="方正书宋简体" w:eastAsia="方正书宋简体" w:cs="方正书宋简体"/>
                <w:kern w:val="2"/>
                <w:sz w:val="24"/>
                <w:szCs w:val="21"/>
                <w:lang w:val="en-US" w:eastAsia="zh-CN" w:bidi="ar-SA"/>
              </w:rPr>
            </w:pPr>
            <w:r>
              <w:t>40</w:t>
            </w:r>
          </w:p>
        </w:tc>
        <w:tc>
          <w:tcPr>
            <w:tcW w:w="314" w:type="pct"/>
            <w:vMerge w:val="restart"/>
            <w:vAlign w:val="center"/>
          </w:tcPr>
          <w:p w14:paraId="4B333A68">
            <w:pPr>
              <w:jc w:val="both"/>
            </w:pPr>
            <w:r>
              <w:rPr>
                <w:rFonts w:hint="eastAsia"/>
              </w:rPr>
              <w:t>200</w:t>
            </w:r>
          </w:p>
        </w:tc>
        <w:tc>
          <w:tcPr>
            <w:tcW w:w="1442" w:type="pct"/>
            <w:vMerge w:val="restart"/>
            <w:vAlign w:val="center"/>
          </w:tcPr>
          <w:p w14:paraId="6ADC3DA2">
            <w:pPr>
              <w:jc w:val="both"/>
            </w:pPr>
            <w:r>
              <w:rPr>
                <w:rFonts w:hint="eastAsia"/>
              </w:rPr>
              <w:t>放大镜、镊子、工具盘、</w:t>
            </w:r>
            <w:r>
              <w:rPr>
                <w:rFonts w:hint="eastAsia"/>
                <w:lang w:val="en-US" w:eastAsia="zh-CN"/>
              </w:rPr>
              <w:t>浸泡的</w:t>
            </w:r>
            <w:r>
              <w:rPr>
                <w:rFonts w:hint="eastAsia"/>
              </w:rPr>
              <w:t>菜豆、</w:t>
            </w:r>
            <w:r>
              <w:rPr>
                <w:rFonts w:hint="eastAsia"/>
                <w:lang w:val="en-US" w:eastAsia="zh-CN"/>
              </w:rPr>
              <w:t>浸泡的番茄</w:t>
            </w:r>
            <w:r>
              <w:rPr>
                <w:rFonts w:hint="eastAsia"/>
              </w:rPr>
              <w:t>种子、解剖刀、解剖针</w:t>
            </w:r>
            <w:r>
              <w:rPr>
                <w:rFonts w:hint="eastAsia"/>
                <w:lang w:eastAsia="zh-CN"/>
              </w:rPr>
              <w:t>；</w:t>
            </w:r>
            <w:r>
              <w:rPr>
                <w:rFonts w:hint="eastAsia"/>
                <w:color w:val="auto"/>
                <w:szCs w:val="32"/>
                <w:highlight w:val="none"/>
                <w:lang w:val="en-US" w:eastAsia="zh-CN"/>
              </w:rPr>
              <w:t>结球白菜、结球甘蓝、</w:t>
            </w:r>
            <w:r>
              <w:rPr>
                <w:rFonts w:hint="eastAsia"/>
                <w:color w:val="auto"/>
                <w:szCs w:val="32"/>
                <w:highlight w:val="none"/>
              </w:rPr>
              <w:t>辣椒、茄子、番茄、菜豆、</w:t>
            </w:r>
            <w:r>
              <w:rPr>
                <w:rFonts w:hint="eastAsia"/>
                <w:color w:val="auto"/>
                <w:szCs w:val="32"/>
                <w:highlight w:val="none"/>
                <w:lang w:val="en-US" w:eastAsia="zh-CN"/>
              </w:rPr>
              <w:t>豇豆、豌豆、</w:t>
            </w:r>
            <w:r>
              <w:rPr>
                <w:rFonts w:hint="eastAsia"/>
                <w:color w:val="auto"/>
                <w:szCs w:val="32"/>
                <w:highlight w:val="none"/>
              </w:rPr>
              <w:t>芹菜、韭菜、生菜、香菜、黄瓜、南瓜、</w:t>
            </w:r>
            <w:r>
              <w:rPr>
                <w:rFonts w:hint="eastAsia"/>
                <w:color w:val="auto"/>
                <w:szCs w:val="32"/>
                <w:highlight w:val="none"/>
                <w:lang w:val="en-US" w:eastAsia="zh-CN"/>
              </w:rPr>
              <w:t>大蒜、大葱、西瓜、甜瓜、萝卜、胡萝卜、牛蒡、花椰菜</w:t>
            </w:r>
            <w:r>
              <w:rPr>
                <w:rFonts w:hint="eastAsia"/>
                <w:lang w:val="en-US" w:eastAsia="zh-CN"/>
              </w:rPr>
              <w:t>等蔬菜种子</w:t>
            </w:r>
            <w:r>
              <w:rPr>
                <w:rFonts w:hint="eastAsia"/>
                <w:lang w:eastAsia="zh-CN"/>
              </w:rPr>
              <w:t>；</w:t>
            </w:r>
            <w:r>
              <w:rPr>
                <w:rFonts w:hint="eastAsia"/>
              </w:rPr>
              <w:t>菜豆、</w:t>
            </w:r>
            <w:r>
              <w:rPr>
                <w:rFonts w:hint="eastAsia"/>
                <w:lang w:val="en-US" w:eastAsia="zh-CN"/>
              </w:rPr>
              <w:t>番茄</w:t>
            </w:r>
            <w:r>
              <w:rPr>
                <w:rFonts w:hint="eastAsia"/>
              </w:rPr>
              <w:t>种子形态结构图及形态结构比较表</w:t>
            </w:r>
          </w:p>
        </w:tc>
      </w:tr>
      <w:tr w14:paraId="3A723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trPr>
        <w:tc>
          <w:tcPr>
            <w:tcW w:w="246" w:type="pct"/>
            <w:vMerge w:val="continue"/>
            <w:vAlign w:val="center"/>
          </w:tcPr>
          <w:p w14:paraId="4CDBA6C2">
            <w:pPr>
              <w:jc w:val="both"/>
            </w:pPr>
          </w:p>
        </w:tc>
        <w:tc>
          <w:tcPr>
            <w:tcW w:w="574" w:type="pct"/>
            <w:vMerge w:val="continue"/>
            <w:vAlign w:val="center"/>
          </w:tcPr>
          <w:p w14:paraId="56887A06">
            <w:pPr>
              <w:jc w:val="both"/>
            </w:pPr>
          </w:p>
        </w:tc>
        <w:tc>
          <w:tcPr>
            <w:tcW w:w="456" w:type="pct"/>
            <w:vMerge w:val="continue"/>
            <w:vAlign w:val="center"/>
          </w:tcPr>
          <w:p w14:paraId="2302DDD8">
            <w:pPr>
              <w:jc w:val="both"/>
            </w:pPr>
          </w:p>
        </w:tc>
        <w:tc>
          <w:tcPr>
            <w:tcW w:w="1681" w:type="pct"/>
            <w:shd w:val="clear" w:color="auto" w:fill="auto"/>
            <w:vAlign w:val="center"/>
          </w:tcPr>
          <w:p w14:paraId="18AEBD91">
            <w:pPr>
              <w:numPr>
                <w:ilvl w:val="255"/>
                <w:numId w:val="0"/>
              </w:numPr>
              <w:spacing w:line="360" w:lineRule="exact"/>
              <w:ind w:left="0" w:leftChars="0" w:firstLine="0" w:firstLineChars="0"/>
              <w:jc w:val="both"/>
              <w:rPr>
                <w:rFonts w:hint="eastAsia" w:ascii="方正书宋简体" w:hAnsi="方正书宋简体" w:eastAsia="方正书宋简体" w:cs="方正书宋简体"/>
                <w:kern w:val="2"/>
                <w:sz w:val="24"/>
                <w:szCs w:val="21"/>
                <w:lang w:val="en-US" w:eastAsia="zh-CN" w:bidi="ar-SA"/>
              </w:rPr>
            </w:pPr>
            <w:r>
              <w:rPr>
                <w:rFonts w:hint="eastAsia" w:ascii="方正书宋简体" w:hAnsi="方正书宋简体" w:eastAsia="方正书宋简体" w:cs="方正书宋简体"/>
                <w:szCs w:val="21"/>
              </w:rPr>
              <w:t>2.观察菜豆种子外部形态，图中指出种皮、种脐</w:t>
            </w:r>
          </w:p>
        </w:tc>
        <w:tc>
          <w:tcPr>
            <w:tcW w:w="282" w:type="pct"/>
            <w:shd w:val="clear" w:color="auto" w:fill="auto"/>
            <w:vAlign w:val="center"/>
          </w:tcPr>
          <w:p w14:paraId="7F4EFB8A">
            <w:pPr>
              <w:jc w:val="both"/>
              <w:rPr>
                <w:rFonts w:ascii="方正书宋简体" w:hAnsi="方正书宋简体" w:eastAsia="方正书宋简体" w:cs="方正书宋简体"/>
                <w:kern w:val="2"/>
                <w:sz w:val="24"/>
                <w:szCs w:val="21"/>
                <w:lang w:val="en-US" w:eastAsia="zh-CN" w:bidi="ar-SA"/>
              </w:rPr>
            </w:pPr>
            <w:r>
              <w:rPr>
                <w:rFonts w:hint="eastAsia"/>
                <w:lang w:val="en-US" w:eastAsia="zh-CN"/>
              </w:rPr>
              <w:t>3</w:t>
            </w:r>
            <w:r>
              <w:t>0</w:t>
            </w:r>
          </w:p>
        </w:tc>
        <w:tc>
          <w:tcPr>
            <w:tcW w:w="314" w:type="pct"/>
            <w:vMerge w:val="continue"/>
            <w:vAlign w:val="center"/>
          </w:tcPr>
          <w:p w14:paraId="6AC2210F">
            <w:pPr>
              <w:jc w:val="both"/>
            </w:pPr>
          </w:p>
        </w:tc>
        <w:tc>
          <w:tcPr>
            <w:tcW w:w="1442" w:type="pct"/>
            <w:vMerge w:val="continue"/>
            <w:vAlign w:val="center"/>
          </w:tcPr>
          <w:p w14:paraId="2F60BF86">
            <w:pPr>
              <w:jc w:val="both"/>
            </w:pPr>
          </w:p>
        </w:tc>
      </w:tr>
      <w:tr w14:paraId="5235D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246" w:type="pct"/>
            <w:vMerge w:val="continue"/>
            <w:vAlign w:val="center"/>
          </w:tcPr>
          <w:p w14:paraId="65F52350">
            <w:pPr>
              <w:jc w:val="both"/>
            </w:pPr>
          </w:p>
        </w:tc>
        <w:tc>
          <w:tcPr>
            <w:tcW w:w="574" w:type="pct"/>
            <w:vMerge w:val="continue"/>
            <w:vAlign w:val="center"/>
          </w:tcPr>
          <w:p w14:paraId="06F9A953">
            <w:pPr>
              <w:jc w:val="both"/>
            </w:pPr>
          </w:p>
        </w:tc>
        <w:tc>
          <w:tcPr>
            <w:tcW w:w="456" w:type="pct"/>
            <w:vMerge w:val="continue"/>
            <w:vAlign w:val="center"/>
          </w:tcPr>
          <w:p w14:paraId="5AF2BCB3">
            <w:pPr>
              <w:jc w:val="both"/>
            </w:pPr>
          </w:p>
        </w:tc>
        <w:tc>
          <w:tcPr>
            <w:tcW w:w="1681" w:type="pct"/>
            <w:shd w:val="clear" w:color="auto" w:fill="auto"/>
            <w:vAlign w:val="center"/>
          </w:tcPr>
          <w:p w14:paraId="347C9C52">
            <w:pPr>
              <w:numPr>
                <w:ilvl w:val="255"/>
                <w:numId w:val="0"/>
              </w:numPr>
              <w:spacing w:line="360" w:lineRule="exact"/>
              <w:ind w:left="0" w:leftChars="0" w:firstLine="0" w:firstLineChars="0"/>
              <w:jc w:val="both"/>
              <w:rPr>
                <w:rFonts w:hint="default" w:ascii="方正书宋简体" w:hAnsi="方正书宋简体" w:eastAsia="方正书宋简体" w:cs="方正书宋简体"/>
                <w:kern w:val="2"/>
                <w:sz w:val="24"/>
                <w:szCs w:val="21"/>
                <w:lang w:val="en-US" w:eastAsia="zh-CN" w:bidi="ar-SA"/>
              </w:rPr>
            </w:pPr>
            <w:r>
              <w:rPr>
                <w:rFonts w:hint="eastAsia" w:ascii="方正书宋简体" w:hAnsi="方正书宋简体" w:eastAsia="方正书宋简体" w:cs="方正书宋简体"/>
                <w:szCs w:val="21"/>
              </w:rPr>
              <w:t>3.剥去种皮，用放大镜观察，图中标出内部结构</w:t>
            </w:r>
          </w:p>
        </w:tc>
        <w:tc>
          <w:tcPr>
            <w:tcW w:w="282" w:type="pct"/>
            <w:shd w:val="clear" w:color="auto" w:fill="auto"/>
            <w:vAlign w:val="center"/>
          </w:tcPr>
          <w:p w14:paraId="3311D737">
            <w:pPr>
              <w:jc w:val="both"/>
              <w:rPr>
                <w:rFonts w:ascii="方正书宋简体" w:hAnsi="方正书宋简体" w:eastAsia="方正书宋简体" w:cs="方正书宋简体"/>
                <w:kern w:val="2"/>
                <w:sz w:val="24"/>
                <w:szCs w:val="21"/>
                <w:lang w:val="en-US" w:eastAsia="zh-CN" w:bidi="ar-SA"/>
              </w:rPr>
            </w:pPr>
            <w:r>
              <w:rPr>
                <w:rFonts w:hint="eastAsia"/>
                <w:lang w:val="en-US" w:eastAsia="zh-CN"/>
              </w:rPr>
              <w:t>3</w:t>
            </w:r>
            <w:r>
              <w:t>0</w:t>
            </w:r>
          </w:p>
        </w:tc>
        <w:tc>
          <w:tcPr>
            <w:tcW w:w="314" w:type="pct"/>
            <w:vMerge w:val="continue"/>
            <w:vAlign w:val="center"/>
          </w:tcPr>
          <w:p w14:paraId="0304CFE3">
            <w:pPr>
              <w:jc w:val="both"/>
            </w:pPr>
          </w:p>
        </w:tc>
        <w:tc>
          <w:tcPr>
            <w:tcW w:w="1442" w:type="pct"/>
            <w:vMerge w:val="continue"/>
            <w:vAlign w:val="center"/>
          </w:tcPr>
          <w:p w14:paraId="22110FA0">
            <w:pPr>
              <w:jc w:val="both"/>
            </w:pPr>
          </w:p>
        </w:tc>
      </w:tr>
      <w:tr w14:paraId="5C025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246" w:type="pct"/>
            <w:vMerge w:val="continue"/>
            <w:vAlign w:val="center"/>
          </w:tcPr>
          <w:p w14:paraId="2EF59005">
            <w:pPr>
              <w:jc w:val="both"/>
            </w:pPr>
          </w:p>
        </w:tc>
        <w:tc>
          <w:tcPr>
            <w:tcW w:w="574" w:type="pct"/>
            <w:vMerge w:val="continue"/>
            <w:vAlign w:val="center"/>
          </w:tcPr>
          <w:p w14:paraId="6BC97085">
            <w:pPr>
              <w:jc w:val="both"/>
            </w:pPr>
          </w:p>
        </w:tc>
        <w:tc>
          <w:tcPr>
            <w:tcW w:w="456" w:type="pct"/>
            <w:vMerge w:val="continue"/>
            <w:vAlign w:val="center"/>
          </w:tcPr>
          <w:p w14:paraId="0F8FF816">
            <w:pPr>
              <w:jc w:val="both"/>
            </w:pPr>
          </w:p>
        </w:tc>
        <w:tc>
          <w:tcPr>
            <w:tcW w:w="1681" w:type="pct"/>
            <w:shd w:val="clear" w:color="auto" w:fill="auto"/>
            <w:vAlign w:val="center"/>
          </w:tcPr>
          <w:p w14:paraId="6B9C2AF2">
            <w:pPr>
              <w:numPr>
                <w:ilvl w:val="255"/>
                <w:numId w:val="0"/>
              </w:numPr>
              <w:spacing w:line="360" w:lineRule="exact"/>
              <w:ind w:left="0" w:leftChars="0" w:firstLine="0" w:firstLineChars="0"/>
              <w:jc w:val="both"/>
              <w:rPr>
                <w:rFonts w:hint="default" w:ascii="方正书宋简体" w:hAnsi="方正书宋简体" w:eastAsia="方正书宋简体" w:cs="方正书宋简体"/>
                <w:kern w:val="2"/>
                <w:sz w:val="24"/>
                <w:szCs w:val="21"/>
                <w:lang w:val="en-US" w:eastAsia="zh-CN" w:bidi="ar-SA"/>
              </w:rPr>
            </w:pPr>
            <w:r>
              <w:rPr>
                <w:rFonts w:hint="eastAsia" w:ascii="方正书宋简体" w:hAnsi="方正书宋简体" w:eastAsia="方正书宋简体" w:cs="方正书宋简体"/>
                <w:szCs w:val="21"/>
              </w:rPr>
              <w:t>4.观察</w:t>
            </w:r>
            <w:r>
              <w:rPr>
                <w:rFonts w:hint="eastAsia" w:ascii="方正书宋简体" w:hAnsi="方正书宋简体" w:eastAsia="方正书宋简体" w:cs="方正书宋简体"/>
                <w:szCs w:val="21"/>
                <w:lang w:val="en-US" w:eastAsia="zh-CN"/>
              </w:rPr>
              <w:t>番茄</w:t>
            </w:r>
            <w:r>
              <w:rPr>
                <w:rFonts w:hint="eastAsia" w:ascii="方正书宋简体" w:hAnsi="方正书宋简体" w:eastAsia="方正书宋简体" w:cs="方正书宋简体"/>
                <w:szCs w:val="21"/>
              </w:rPr>
              <w:t>种子外部形态，图中指出种皮、种脐</w:t>
            </w:r>
          </w:p>
        </w:tc>
        <w:tc>
          <w:tcPr>
            <w:tcW w:w="282" w:type="pct"/>
            <w:shd w:val="clear" w:color="auto" w:fill="auto"/>
            <w:vAlign w:val="center"/>
          </w:tcPr>
          <w:p w14:paraId="7BD64A6D">
            <w:pPr>
              <w:jc w:val="both"/>
              <w:rPr>
                <w:rFonts w:ascii="方正书宋简体" w:hAnsi="方正书宋简体" w:eastAsia="方正书宋简体" w:cs="方正书宋简体"/>
                <w:kern w:val="2"/>
                <w:sz w:val="24"/>
                <w:szCs w:val="21"/>
                <w:lang w:val="en-US" w:eastAsia="zh-CN" w:bidi="ar-SA"/>
              </w:rPr>
            </w:pPr>
            <w:r>
              <w:t>30</w:t>
            </w:r>
          </w:p>
        </w:tc>
        <w:tc>
          <w:tcPr>
            <w:tcW w:w="314" w:type="pct"/>
            <w:vMerge w:val="continue"/>
            <w:vAlign w:val="center"/>
          </w:tcPr>
          <w:p w14:paraId="194215E3">
            <w:pPr>
              <w:jc w:val="both"/>
            </w:pPr>
          </w:p>
        </w:tc>
        <w:tc>
          <w:tcPr>
            <w:tcW w:w="1442" w:type="pct"/>
            <w:vMerge w:val="continue"/>
            <w:vAlign w:val="center"/>
          </w:tcPr>
          <w:p w14:paraId="09EC6517">
            <w:pPr>
              <w:jc w:val="both"/>
            </w:pPr>
          </w:p>
        </w:tc>
      </w:tr>
      <w:tr w14:paraId="1F90D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246" w:type="pct"/>
            <w:vMerge w:val="continue"/>
            <w:vAlign w:val="center"/>
          </w:tcPr>
          <w:p w14:paraId="40C0EC9B">
            <w:pPr>
              <w:jc w:val="both"/>
            </w:pPr>
          </w:p>
        </w:tc>
        <w:tc>
          <w:tcPr>
            <w:tcW w:w="574" w:type="pct"/>
            <w:vMerge w:val="continue"/>
            <w:vAlign w:val="center"/>
          </w:tcPr>
          <w:p w14:paraId="3F50AAF4">
            <w:pPr>
              <w:jc w:val="both"/>
            </w:pPr>
          </w:p>
        </w:tc>
        <w:tc>
          <w:tcPr>
            <w:tcW w:w="456" w:type="pct"/>
            <w:vMerge w:val="continue"/>
            <w:vAlign w:val="center"/>
          </w:tcPr>
          <w:p w14:paraId="743CB3B0">
            <w:pPr>
              <w:jc w:val="both"/>
            </w:pPr>
          </w:p>
        </w:tc>
        <w:tc>
          <w:tcPr>
            <w:tcW w:w="1681" w:type="pct"/>
            <w:shd w:val="clear" w:color="auto" w:fill="auto"/>
            <w:vAlign w:val="center"/>
          </w:tcPr>
          <w:p w14:paraId="3D29F293">
            <w:pPr>
              <w:numPr>
                <w:ilvl w:val="255"/>
                <w:numId w:val="0"/>
              </w:numPr>
              <w:spacing w:line="360" w:lineRule="exact"/>
              <w:ind w:left="0" w:leftChars="0" w:firstLine="0" w:firstLineChars="0"/>
              <w:jc w:val="both"/>
              <w:rPr>
                <w:rFonts w:hint="default" w:ascii="方正书宋简体" w:hAnsi="方正书宋简体" w:eastAsia="方正书宋简体" w:cs="方正书宋简体"/>
                <w:kern w:val="2"/>
                <w:sz w:val="24"/>
                <w:szCs w:val="21"/>
                <w:lang w:val="en-US" w:eastAsia="zh-CN" w:bidi="ar-SA"/>
              </w:rPr>
            </w:pPr>
            <w:r>
              <w:rPr>
                <w:rFonts w:hint="eastAsia" w:ascii="方正书宋简体" w:hAnsi="方正书宋简体" w:eastAsia="方正书宋简体" w:cs="方正书宋简体"/>
                <w:szCs w:val="21"/>
              </w:rPr>
              <w:t>5.剖开</w:t>
            </w:r>
            <w:r>
              <w:rPr>
                <w:rFonts w:hint="eastAsia" w:ascii="方正书宋简体" w:hAnsi="方正书宋简体" w:eastAsia="方正书宋简体" w:cs="方正书宋简体"/>
                <w:szCs w:val="21"/>
                <w:lang w:val="en-US" w:eastAsia="zh-CN"/>
              </w:rPr>
              <w:t>番茄</w:t>
            </w:r>
            <w:r>
              <w:rPr>
                <w:rFonts w:hint="eastAsia" w:ascii="方正书宋简体" w:hAnsi="方正书宋简体" w:eastAsia="方正书宋简体" w:cs="方正书宋简体"/>
                <w:szCs w:val="21"/>
              </w:rPr>
              <w:t>种子，用放大镜观察，图中标出内部结构。</w:t>
            </w:r>
          </w:p>
        </w:tc>
        <w:tc>
          <w:tcPr>
            <w:tcW w:w="282" w:type="pct"/>
            <w:shd w:val="clear" w:color="auto" w:fill="auto"/>
            <w:vAlign w:val="center"/>
          </w:tcPr>
          <w:p w14:paraId="112EF77E">
            <w:pPr>
              <w:jc w:val="both"/>
              <w:rPr>
                <w:rFonts w:ascii="方正书宋简体" w:hAnsi="方正书宋简体" w:eastAsia="方正书宋简体" w:cs="方正书宋简体"/>
                <w:kern w:val="2"/>
                <w:sz w:val="24"/>
                <w:szCs w:val="21"/>
                <w:lang w:val="en-US" w:eastAsia="zh-CN" w:bidi="ar-SA"/>
              </w:rPr>
            </w:pPr>
            <w:r>
              <w:rPr>
                <w:rFonts w:hint="eastAsia"/>
                <w:lang w:val="en-US" w:eastAsia="zh-CN"/>
              </w:rPr>
              <w:t>4</w:t>
            </w:r>
            <w:r>
              <w:t>0</w:t>
            </w:r>
          </w:p>
        </w:tc>
        <w:tc>
          <w:tcPr>
            <w:tcW w:w="314" w:type="pct"/>
            <w:vMerge w:val="continue"/>
            <w:vAlign w:val="center"/>
          </w:tcPr>
          <w:p w14:paraId="20EE8379">
            <w:pPr>
              <w:jc w:val="both"/>
            </w:pPr>
          </w:p>
        </w:tc>
        <w:tc>
          <w:tcPr>
            <w:tcW w:w="1442" w:type="pct"/>
            <w:vMerge w:val="continue"/>
            <w:vAlign w:val="center"/>
          </w:tcPr>
          <w:p w14:paraId="42318F57">
            <w:pPr>
              <w:jc w:val="both"/>
            </w:pPr>
          </w:p>
        </w:tc>
      </w:tr>
      <w:tr w14:paraId="6B8A3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46" w:type="pct"/>
            <w:vMerge w:val="continue"/>
            <w:vAlign w:val="center"/>
          </w:tcPr>
          <w:p w14:paraId="3698702E">
            <w:pPr>
              <w:jc w:val="both"/>
            </w:pPr>
          </w:p>
        </w:tc>
        <w:tc>
          <w:tcPr>
            <w:tcW w:w="574" w:type="pct"/>
            <w:vMerge w:val="continue"/>
            <w:vAlign w:val="center"/>
          </w:tcPr>
          <w:p w14:paraId="2E5963D7">
            <w:pPr>
              <w:jc w:val="both"/>
            </w:pPr>
          </w:p>
        </w:tc>
        <w:tc>
          <w:tcPr>
            <w:tcW w:w="456" w:type="pct"/>
            <w:vMerge w:val="continue"/>
            <w:vAlign w:val="center"/>
          </w:tcPr>
          <w:p w14:paraId="1BE97BA2">
            <w:pPr>
              <w:jc w:val="both"/>
            </w:pPr>
          </w:p>
        </w:tc>
        <w:tc>
          <w:tcPr>
            <w:tcW w:w="1681" w:type="pct"/>
            <w:shd w:val="clear" w:color="auto" w:fill="auto"/>
            <w:vAlign w:val="center"/>
          </w:tcPr>
          <w:p w14:paraId="2AB1D1A1">
            <w:pPr>
              <w:numPr>
                <w:ilvl w:val="255"/>
                <w:numId w:val="0"/>
              </w:numPr>
              <w:spacing w:line="360" w:lineRule="exact"/>
              <w:ind w:left="0" w:leftChars="0" w:firstLine="0" w:firstLineChars="0"/>
              <w:jc w:val="both"/>
              <w:rPr>
                <w:rFonts w:hint="eastAsia" w:ascii="方正书宋简体" w:hAnsi="方正书宋简体" w:eastAsia="方正书宋简体" w:cs="方正书宋简体"/>
                <w:kern w:val="2"/>
                <w:sz w:val="24"/>
                <w:szCs w:val="21"/>
                <w:lang w:val="en-US" w:eastAsia="zh-CN" w:bidi="ar-SA"/>
              </w:rPr>
            </w:pPr>
            <w:r>
              <w:rPr>
                <w:rFonts w:hint="eastAsia" w:ascii="方正书宋简体" w:hAnsi="方正书宋简体" w:eastAsia="方正书宋简体" w:cs="方正书宋简体"/>
                <w:szCs w:val="21"/>
                <w:lang w:val="en-US" w:eastAsia="zh-CN"/>
              </w:rPr>
              <w:t>6</w:t>
            </w:r>
            <w:r>
              <w:rPr>
                <w:rFonts w:hint="eastAsia" w:ascii="方正书宋简体" w:hAnsi="方正书宋简体" w:eastAsia="方正书宋简体" w:cs="方正书宋简体"/>
                <w:szCs w:val="21"/>
              </w:rPr>
              <w:t>.填表，比较</w:t>
            </w:r>
            <w:r>
              <w:rPr>
                <w:rFonts w:hint="eastAsia" w:ascii="方正书宋简体" w:hAnsi="方正书宋简体" w:eastAsia="方正书宋简体" w:cs="方正书宋简体"/>
                <w:szCs w:val="21"/>
                <w:lang w:val="en-US" w:eastAsia="zh-CN"/>
              </w:rPr>
              <w:t>有胚乳种子和无胚乳</w:t>
            </w:r>
            <w:r>
              <w:rPr>
                <w:rFonts w:hint="eastAsia" w:ascii="方正书宋简体" w:hAnsi="方正书宋简体" w:eastAsia="方正书宋简体" w:cs="方正书宋简体"/>
                <w:szCs w:val="21"/>
              </w:rPr>
              <w:t>植物种子形态结构</w:t>
            </w:r>
            <w:r>
              <w:rPr>
                <w:rFonts w:hint="eastAsia" w:ascii="方正书宋简体" w:hAnsi="方正书宋简体" w:eastAsia="方正书宋简体" w:cs="方正书宋简体"/>
                <w:szCs w:val="21"/>
                <w:lang w:eastAsia="zh-CN"/>
              </w:rPr>
              <w:t>。</w:t>
            </w:r>
          </w:p>
        </w:tc>
        <w:tc>
          <w:tcPr>
            <w:tcW w:w="282" w:type="pct"/>
            <w:shd w:val="clear" w:color="auto" w:fill="auto"/>
            <w:vAlign w:val="center"/>
          </w:tcPr>
          <w:p w14:paraId="2F5595AD">
            <w:pPr>
              <w:jc w:val="both"/>
              <w:rPr>
                <w:rFonts w:ascii="方正书宋简体" w:hAnsi="方正书宋简体" w:eastAsia="方正书宋简体" w:cs="方正书宋简体"/>
                <w:kern w:val="2"/>
                <w:sz w:val="24"/>
                <w:szCs w:val="21"/>
                <w:lang w:val="en-US" w:eastAsia="zh-CN" w:bidi="ar-SA"/>
              </w:rPr>
            </w:pPr>
            <w:r>
              <w:rPr>
                <w:rFonts w:hint="eastAsia"/>
                <w:lang w:val="en-US" w:eastAsia="zh-CN"/>
              </w:rPr>
              <w:t>3</w:t>
            </w:r>
            <w:r>
              <w:t>0</w:t>
            </w:r>
          </w:p>
        </w:tc>
        <w:tc>
          <w:tcPr>
            <w:tcW w:w="314" w:type="pct"/>
            <w:vMerge w:val="continue"/>
            <w:vAlign w:val="center"/>
          </w:tcPr>
          <w:p w14:paraId="2D3DCFEC">
            <w:pPr>
              <w:jc w:val="both"/>
            </w:pPr>
          </w:p>
        </w:tc>
        <w:tc>
          <w:tcPr>
            <w:tcW w:w="1442" w:type="pct"/>
            <w:vMerge w:val="continue"/>
            <w:vAlign w:val="center"/>
          </w:tcPr>
          <w:p w14:paraId="5C3D4CCE">
            <w:pPr>
              <w:jc w:val="both"/>
            </w:pPr>
          </w:p>
        </w:tc>
      </w:tr>
      <w:tr w14:paraId="23119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246" w:type="pct"/>
            <w:vMerge w:val="restart"/>
            <w:vAlign w:val="center"/>
          </w:tcPr>
          <w:p w14:paraId="62EB3B42">
            <w:pPr>
              <w:jc w:val="both"/>
              <w:rPr>
                <w:rFonts w:hint="eastAsia" w:eastAsiaTheme="minorEastAsia"/>
                <w:lang w:eastAsia="zh-CN"/>
              </w:rPr>
            </w:pPr>
            <w:r>
              <w:rPr>
                <w:rFonts w:hint="eastAsia"/>
                <w:lang w:val="en-US" w:eastAsia="zh-CN"/>
              </w:rPr>
              <w:t>3</w:t>
            </w:r>
          </w:p>
        </w:tc>
        <w:tc>
          <w:tcPr>
            <w:tcW w:w="574" w:type="pct"/>
            <w:vMerge w:val="restart"/>
            <w:vAlign w:val="center"/>
          </w:tcPr>
          <w:p w14:paraId="2B7BC92B">
            <w:pPr>
              <w:jc w:val="both"/>
              <w:rPr>
                <w:rFonts w:ascii="方正书宋简体" w:hAnsi="方正书宋简体" w:eastAsia="方正书宋简体" w:cs="方正书宋简体"/>
                <w:szCs w:val="21"/>
              </w:rPr>
            </w:pPr>
            <w:r>
              <w:rPr>
                <w:rFonts w:hint="eastAsia"/>
              </w:rPr>
              <w:t>园艺植物病害及害虫识别</w:t>
            </w:r>
          </w:p>
        </w:tc>
        <w:tc>
          <w:tcPr>
            <w:tcW w:w="456" w:type="pct"/>
            <w:vMerge w:val="restart"/>
            <w:vAlign w:val="center"/>
          </w:tcPr>
          <w:p w14:paraId="651223E0">
            <w:pPr>
              <w:jc w:val="both"/>
            </w:pPr>
            <w:r>
              <w:rPr>
                <w:rFonts w:hint="eastAsia"/>
              </w:rPr>
              <w:t>3</w:t>
            </w:r>
            <w:r>
              <w:t>0</w:t>
            </w:r>
            <w:r>
              <w:rPr>
                <w:rFonts w:hint="eastAsia"/>
              </w:rPr>
              <w:t>min</w:t>
            </w:r>
          </w:p>
        </w:tc>
        <w:tc>
          <w:tcPr>
            <w:tcW w:w="1681" w:type="pct"/>
            <w:vAlign w:val="center"/>
          </w:tcPr>
          <w:p w14:paraId="26A54B37">
            <w:pPr>
              <w:jc w:val="both"/>
              <w:rPr>
                <w:rFonts w:ascii="方正书宋简体" w:hAnsi="方正书宋简体" w:eastAsia="方正书宋简体" w:cs="方正书宋简体"/>
                <w:szCs w:val="21"/>
              </w:rPr>
            </w:pPr>
            <w:r>
              <w:rPr>
                <w:rFonts w:hint="eastAsia"/>
              </w:rPr>
              <w:t>1.病害名称识别及症状类型描述</w:t>
            </w:r>
          </w:p>
        </w:tc>
        <w:tc>
          <w:tcPr>
            <w:tcW w:w="282" w:type="pct"/>
            <w:vAlign w:val="center"/>
          </w:tcPr>
          <w:p w14:paraId="0223534A">
            <w:pPr>
              <w:jc w:val="both"/>
              <w:rPr>
                <w:rFonts w:ascii="方正书宋简体" w:hAnsi="方正书宋简体" w:eastAsia="方正书宋简体" w:cs="方正书宋简体"/>
                <w:szCs w:val="21"/>
              </w:rPr>
            </w:pPr>
            <w:r>
              <w:rPr>
                <w:rFonts w:hint="eastAsia"/>
              </w:rPr>
              <w:t>40</w:t>
            </w:r>
          </w:p>
        </w:tc>
        <w:tc>
          <w:tcPr>
            <w:tcW w:w="314" w:type="pct"/>
            <w:vMerge w:val="restart"/>
            <w:vAlign w:val="center"/>
          </w:tcPr>
          <w:p w14:paraId="02844016">
            <w:pPr>
              <w:jc w:val="both"/>
            </w:pPr>
            <w:r>
              <w:rPr>
                <w:rFonts w:hint="eastAsia"/>
              </w:rPr>
              <w:t>2</w:t>
            </w:r>
            <w:r>
              <w:t>00</w:t>
            </w:r>
          </w:p>
        </w:tc>
        <w:tc>
          <w:tcPr>
            <w:tcW w:w="1442" w:type="pct"/>
            <w:vMerge w:val="restart"/>
            <w:vAlign w:val="center"/>
          </w:tcPr>
          <w:p w14:paraId="128A7E81">
            <w:pPr>
              <w:jc w:val="both"/>
            </w:pPr>
            <w:r>
              <w:rPr>
                <w:rFonts w:hint="eastAsia"/>
              </w:rPr>
              <w:t>放大镜</w:t>
            </w:r>
          </w:p>
          <w:p w14:paraId="68475AEA">
            <w:pPr>
              <w:jc w:val="both"/>
            </w:pPr>
            <w:r>
              <w:rPr>
                <w:rFonts w:hint="eastAsia"/>
                <w:b/>
                <w:bCs/>
              </w:rPr>
              <w:t>病害标本或图片</w:t>
            </w:r>
            <w:r>
              <w:rPr>
                <w:rFonts w:hint="eastAsia"/>
              </w:rPr>
              <w:t>：黄瓜白粉病、黄瓜霜霉病、番茄灰霉病、辣椒炭疽病、菜豆锈病、番茄叶斑病、白菜黑斑病、芹菜斑枯病、大白菜软腐病、番茄病毒病、辣椒日灼病、月季黑斑病、君子兰软腐病、仙客来灰霉病、菊花褐斑病等。</w:t>
            </w:r>
          </w:p>
          <w:p w14:paraId="2808CF28">
            <w:pPr>
              <w:jc w:val="both"/>
              <w:rPr>
                <w:rFonts w:hint="eastAsia"/>
              </w:rPr>
            </w:pPr>
            <w:r>
              <w:rPr>
                <w:rFonts w:hint="eastAsia"/>
                <w:b/>
                <w:bCs/>
              </w:rPr>
              <w:t>害虫标本或图片</w:t>
            </w:r>
            <w:r>
              <w:rPr>
                <w:rFonts w:hint="eastAsia"/>
              </w:rPr>
              <w:t>：蝼蛄、潜蝇、马铃薯瓢虫、黄凤蝶（幼虫、成虫）、菜青虫、草地螟、小菜蛾（幼虫、成虫）、斑须蝽、蚜虫、菜蝽、蓟马、棉铃虫、黄刺蛾、金龟子、蚧壳虫、大猿叶甲、温室白粉虱、星天牛、食心虫等</w:t>
            </w:r>
          </w:p>
        </w:tc>
      </w:tr>
      <w:tr w14:paraId="00668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trPr>
        <w:tc>
          <w:tcPr>
            <w:tcW w:w="246" w:type="pct"/>
            <w:vMerge w:val="continue"/>
            <w:vAlign w:val="center"/>
          </w:tcPr>
          <w:p w14:paraId="618F26A1">
            <w:pPr>
              <w:jc w:val="both"/>
            </w:pPr>
          </w:p>
        </w:tc>
        <w:tc>
          <w:tcPr>
            <w:tcW w:w="574" w:type="pct"/>
            <w:vMerge w:val="continue"/>
            <w:vAlign w:val="center"/>
          </w:tcPr>
          <w:p w14:paraId="1380F306">
            <w:pPr>
              <w:jc w:val="both"/>
            </w:pPr>
          </w:p>
        </w:tc>
        <w:tc>
          <w:tcPr>
            <w:tcW w:w="456" w:type="pct"/>
            <w:vMerge w:val="continue"/>
            <w:vAlign w:val="center"/>
          </w:tcPr>
          <w:p w14:paraId="0FE68070">
            <w:pPr>
              <w:jc w:val="both"/>
            </w:pPr>
          </w:p>
        </w:tc>
        <w:tc>
          <w:tcPr>
            <w:tcW w:w="1681" w:type="pct"/>
            <w:vAlign w:val="center"/>
          </w:tcPr>
          <w:p w14:paraId="7C3D2356">
            <w:pPr>
              <w:jc w:val="both"/>
              <w:rPr>
                <w:rFonts w:ascii="方正书宋简体" w:hAnsi="方正书宋简体" w:eastAsia="方正书宋简体" w:cs="方正书宋简体"/>
                <w:szCs w:val="21"/>
              </w:rPr>
            </w:pPr>
            <w:r>
              <w:rPr>
                <w:rFonts w:hint="eastAsia"/>
              </w:rPr>
              <w:t>2.病原类型识别及发病类型确定</w:t>
            </w:r>
          </w:p>
        </w:tc>
        <w:tc>
          <w:tcPr>
            <w:tcW w:w="282" w:type="pct"/>
            <w:vAlign w:val="center"/>
          </w:tcPr>
          <w:p w14:paraId="1C209583">
            <w:pPr>
              <w:jc w:val="both"/>
              <w:rPr>
                <w:rFonts w:ascii="方正书宋简体" w:hAnsi="方正书宋简体" w:eastAsia="方正书宋简体" w:cs="方正书宋简体"/>
                <w:szCs w:val="21"/>
              </w:rPr>
            </w:pPr>
            <w:r>
              <w:rPr>
                <w:rFonts w:hint="eastAsia"/>
              </w:rPr>
              <w:t>40</w:t>
            </w:r>
          </w:p>
        </w:tc>
        <w:tc>
          <w:tcPr>
            <w:tcW w:w="314" w:type="pct"/>
            <w:vMerge w:val="continue"/>
            <w:vAlign w:val="center"/>
          </w:tcPr>
          <w:p w14:paraId="158F5353">
            <w:pPr>
              <w:jc w:val="both"/>
            </w:pPr>
          </w:p>
        </w:tc>
        <w:tc>
          <w:tcPr>
            <w:tcW w:w="1442" w:type="pct"/>
            <w:vMerge w:val="continue"/>
            <w:vAlign w:val="center"/>
          </w:tcPr>
          <w:p w14:paraId="4767F99C">
            <w:pPr>
              <w:jc w:val="both"/>
            </w:pPr>
          </w:p>
        </w:tc>
      </w:tr>
      <w:tr w14:paraId="3AC2F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246" w:type="pct"/>
            <w:vMerge w:val="continue"/>
            <w:vAlign w:val="center"/>
          </w:tcPr>
          <w:p w14:paraId="63CEA289">
            <w:pPr>
              <w:jc w:val="both"/>
            </w:pPr>
          </w:p>
        </w:tc>
        <w:tc>
          <w:tcPr>
            <w:tcW w:w="574" w:type="pct"/>
            <w:vMerge w:val="continue"/>
            <w:vAlign w:val="center"/>
          </w:tcPr>
          <w:p w14:paraId="3D31A07C">
            <w:pPr>
              <w:jc w:val="both"/>
            </w:pPr>
          </w:p>
        </w:tc>
        <w:tc>
          <w:tcPr>
            <w:tcW w:w="456" w:type="pct"/>
            <w:vMerge w:val="continue"/>
            <w:vAlign w:val="center"/>
          </w:tcPr>
          <w:p w14:paraId="51154CB4">
            <w:pPr>
              <w:jc w:val="both"/>
            </w:pPr>
          </w:p>
        </w:tc>
        <w:tc>
          <w:tcPr>
            <w:tcW w:w="1681" w:type="pct"/>
            <w:vAlign w:val="center"/>
          </w:tcPr>
          <w:p w14:paraId="3ACC31B5">
            <w:pPr>
              <w:jc w:val="both"/>
              <w:rPr>
                <w:rFonts w:ascii="方正书宋简体" w:hAnsi="方正书宋简体" w:eastAsia="方正书宋简体" w:cs="方正书宋简体"/>
                <w:szCs w:val="21"/>
              </w:rPr>
            </w:pPr>
            <w:r>
              <w:rPr>
                <w:rFonts w:hint="eastAsia"/>
              </w:rPr>
              <w:t>3.识别病原体</w:t>
            </w:r>
            <w:r>
              <w:rPr>
                <w:rFonts w:hint="eastAsia"/>
                <w:lang w:eastAsia="zh-CN"/>
              </w:rPr>
              <w:t>、</w:t>
            </w:r>
            <w:r>
              <w:rPr>
                <w:rFonts w:hint="eastAsia"/>
              </w:rPr>
              <w:t>害虫种类</w:t>
            </w:r>
          </w:p>
        </w:tc>
        <w:tc>
          <w:tcPr>
            <w:tcW w:w="282" w:type="pct"/>
            <w:vAlign w:val="center"/>
          </w:tcPr>
          <w:p w14:paraId="1E847D92">
            <w:pPr>
              <w:jc w:val="both"/>
              <w:rPr>
                <w:rFonts w:ascii="方正书宋简体" w:hAnsi="方正书宋简体" w:eastAsia="方正书宋简体" w:cs="方正书宋简体"/>
                <w:szCs w:val="21"/>
              </w:rPr>
            </w:pPr>
            <w:r>
              <w:rPr>
                <w:rFonts w:hint="eastAsia"/>
              </w:rPr>
              <w:t>40</w:t>
            </w:r>
          </w:p>
        </w:tc>
        <w:tc>
          <w:tcPr>
            <w:tcW w:w="314" w:type="pct"/>
            <w:vMerge w:val="continue"/>
            <w:vAlign w:val="center"/>
          </w:tcPr>
          <w:p w14:paraId="1810300C">
            <w:pPr>
              <w:jc w:val="both"/>
            </w:pPr>
          </w:p>
        </w:tc>
        <w:tc>
          <w:tcPr>
            <w:tcW w:w="1442" w:type="pct"/>
            <w:vMerge w:val="continue"/>
            <w:vAlign w:val="center"/>
          </w:tcPr>
          <w:p w14:paraId="61798A80">
            <w:pPr>
              <w:jc w:val="both"/>
            </w:pPr>
          </w:p>
        </w:tc>
      </w:tr>
      <w:tr w14:paraId="61E3C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246" w:type="pct"/>
            <w:vMerge w:val="continue"/>
            <w:vAlign w:val="center"/>
          </w:tcPr>
          <w:p w14:paraId="3B04347E">
            <w:pPr>
              <w:jc w:val="both"/>
            </w:pPr>
          </w:p>
        </w:tc>
        <w:tc>
          <w:tcPr>
            <w:tcW w:w="574" w:type="pct"/>
            <w:vMerge w:val="continue"/>
            <w:vAlign w:val="center"/>
          </w:tcPr>
          <w:p w14:paraId="501DC9CD">
            <w:pPr>
              <w:jc w:val="both"/>
            </w:pPr>
          </w:p>
        </w:tc>
        <w:tc>
          <w:tcPr>
            <w:tcW w:w="456" w:type="pct"/>
            <w:vMerge w:val="continue"/>
            <w:vAlign w:val="center"/>
          </w:tcPr>
          <w:p w14:paraId="35D0C15B">
            <w:pPr>
              <w:jc w:val="both"/>
            </w:pPr>
          </w:p>
        </w:tc>
        <w:tc>
          <w:tcPr>
            <w:tcW w:w="1681" w:type="pct"/>
            <w:vAlign w:val="center"/>
          </w:tcPr>
          <w:p w14:paraId="276DFDF3">
            <w:pPr>
              <w:jc w:val="both"/>
              <w:rPr>
                <w:rFonts w:ascii="方正书宋简体" w:hAnsi="方正书宋简体" w:eastAsia="方正书宋简体" w:cs="方正书宋简体"/>
                <w:szCs w:val="21"/>
              </w:rPr>
            </w:pPr>
            <w:r>
              <w:rPr>
                <w:rFonts w:hint="eastAsia"/>
              </w:rPr>
              <w:t>4.病害传播途径及防治措施</w:t>
            </w:r>
          </w:p>
        </w:tc>
        <w:tc>
          <w:tcPr>
            <w:tcW w:w="282" w:type="pct"/>
            <w:vAlign w:val="center"/>
          </w:tcPr>
          <w:p w14:paraId="77D3A777">
            <w:pPr>
              <w:jc w:val="both"/>
              <w:rPr>
                <w:rFonts w:ascii="方正书宋简体" w:hAnsi="方正书宋简体" w:eastAsia="方正书宋简体" w:cs="方正书宋简体"/>
                <w:szCs w:val="21"/>
              </w:rPr>
            </w:pPr>
            <w:r>
              <w:rPr>
                <w:rFonts w:hint="eastAsia"/>
              </w:rPr>
              <w:t>40</w:t>
            </w:r>
          </w:p>
        </w:tc>
        <w:tc>
          <w:tcPr>
            <w:tcW w:w="314" w:type="pct"/>
            <w:vMerge w:val="continue"/>
            <w:vAlign w:val="center"/>
          </w:tcPr>
          <w:p w14:paraId="163F9392">
            <w:pPr>
              <w:jc w:val="both"/>
            </w:pPr>
          </w:p>
        </w:tc>
        <w:tc>
          <w:tcPr>
            <w:tcW w:w="1442" w:type="pct"/>
            <w:vMerge w:val="continue"/>
            <w:vAlign w:val="center"/>
          </w:tcPr>
          <w:p w14:paraId="0260E254">
            <w:pPr>
              <w:jc w:val="both"/>
            </w:pPr>
          </w:p>
        </w:tc>
      </w:tr>
      <w:tr w14:paraId="74F31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246" w:type="pct"/>
            <w:vMerge w:val="continue"/>
            <w:vAlign w:val="center"/>
          </w:tcPr>
          <w:p w14:paraId="75E92A66">
            <w:pPr>
              <w:jc w:val="both"/>
            </w:pPr>
          </w:p>
        </w:tc>
        <w:tc>
          <w:tcPr>
            <w:tcW w:w="574" w:type="pct"/>
            <w:vMerge w:val="continue"/>
            <w:vAlign w:val="center"/>
          </w:tcPr>
          <w:p w14:paraId="0C4630C1">
            <w:pPr>
              <w:jc w:val="both"/>
            </w:pPr>
          </w:p>
        </w:tc>
        <w:tc>
          <w:tcPr>
            <w:tcW w:w="456" w:type="pct"/>
            <w:vMerge w:val="continue"/>
            <w:vAlign w:val="center"/>
          </w:tcPr>
          <w:p w14:paraId="4F5217AF">
            <w:pPr>
              <w:jc w:val="both"/>
            </w:pPr>
          </w:p>
        </w:tc>
        <w:tc>
          <w:tcPr>
            <w:tcW w:w="1681" w:type="pct"/>
            <w:vAlign w:val="center"/>
          </w:tcPr>
          <w:p w14:paraId="6EEBC9BD">
            <w:pPr>
              <w:jc w:val="both"/>
              <w:rPr>
                <w:rFonts w:ascii="方正书宋简体" w:hAnsi="方正书宋简体" w:eastAsia="方正书宋简体" w:cs="方正书宋简体"/>
                <w:szCs w:val="21"/>
              </w:rPr>
            </w:pPr>
            <w:r>
              <w:rPr>
                <w:rFonts w:hint="eastAsia"/>
              </w:rPr>
              <w:t>5. 害虫的传播途径及防治措施</w:t>
            </w:r>
          </w:p>
        </w:tc>
        <w:tc>
          <w:tcPr>
            <w:tcW w:w="282" w:type="pct"/>
            <w:vAlign w:val="center"/>
          </w:tcPr>
          <w:p w14:paraId="0DFDEAEF">
            <w:pPr>
              <w:jc w:val="both"/>
              <w:rPr>
                <w:rFonts w:ascii="方正书宋简体" w:hAnsi="方正书宋简体" w:eastAsia="方正书宋简体" w:cs="方正书宋简体"/>
                <w:szCs w:val="21"/>
              </w:rPr>
            </w:pPr>
            <w:r>
              <w:rPr>
                <w:rFonts w:hint="eastAsia"/>
                <w:lang w:val="en-US" w:eastAsia="zh-CN"/>
              </w:rPr>
              <w:t>3</w:t>
            </w:r>
            <w:r>
              <w:rPr>
                <w:rFonts w:hint="eastAsia"/>
              </w:rPr>
              <w:t>0</w:t>
            </w:r>
          </w:p>
        </w:tc>
        <w:tc>
          <w:tcPr>
            <w:tcW w:w="314" w:type="pct"/>
            <w:vMerge w:val="continue"/>
            <w:vAlign w:val="center"/>
          </w:tcPr>
          <w:p w14:paraId="2D0E6E19">
            <w:pPr>
              <w:jc w:val="both"/>
            </w:pPr>
          </w:p>
        </w:tc>
        <w:tc>
          <w:tcPr>
            <w:tcW w:w="1442" w:type="pct"/>
            <w:vMerge w:val="continue"/>
            <w:vAlign w:val="center"/>
          </w:tcPr>
          <w:p w14:paraId="0ED2FE14">
            <w:pPr>
              <w:jc w:val="both"/>
            </w:pPr>
          </w:p>
        </w:tc>
      </w:tr>
      <w:tr w14:paraId="2D0F2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246" w:type="pct"/>
            <w:vMerge w:val="continue"/>
            <w:vAlign w:val="center"/>
          </w:tcPr>
          <w:p w14:paraId="3F3A9F10">
            <w:pPr>
              <w:jc w:val="both"/>
            </w:pPr>
          </w:p>
        </w:tc>
        <w:tc>
          <w:tcPr>
            <w:tcW w:w="574" w:type="pct"/>
            <w:vMerge w:val="continue"/>
            <w:vAlign w:val="center"/>
          </w:tcPr>
          <w:p w14:paraId="34C8C572">
            <w:pPr>
              <w:jc w:val="both"/>
            </w:pPr>
          </w:p>
        </w:tc>
        <w:tc>
          <w:tcPr>
            <w:tcW w:w="456" w:type="pct"/>
            <w:vMerge w:val="continue"/>
            <w:vAlign w:val="center"/>
          </w:tcPr>
          <w:p w14:paraId="481C5274">
            <w:pPr>
              <w:jc w:val="both"/>
            </w:pPr>
          </w:p>
        </w:tc>
        <w:tc>
          <w:tcPr>
            <w:tcW w:w="1681" w:type="pct"/>
            <w:vAlign w:val="center"/>
          </w:tcPr>
          <w:p w14:paraId="1D76D422">
            <w:pPr>
              <w:jc w:val="both"/>
              <w:rPr>
                <w:rFonts w:ascii="方正书宋简体" w:hAnsi="方正书宋简体" w:eastAsia="方正书宋简体" w:cs="方正书宋简体"/>
                <w:szCs w:val="21"/>
              </w:rPr>
            </w:pPr>
            <w:r>
              <w:rPr>
                <w:rFonts w:hint="eastAsia"/>
              </w:rPr>
              <w:t>6.安全操作与环境保护</w:t>
            </w:r>
          </w:p>
        </w:tc>
        <w:tc>
          <w:tcPr>
            <w:tcW w:w="282" w:type="pct"/>
            <w:vAlign w:val="center"/>
          </w:tcPr>
          <w:p w14:paraId="4FE9ADA8">
            <w:pPr>
              <w:jc w:val="both"/>
              <w:rPr>
                <w:rFonts w:ascii="方正书宋简体" w:hAnsi="方正书宋简体" w:eastAsia="方正书宋简体" w:cs="方正书宋简体"/>
                <w:szCs w:val="21"/>
              </w:rPr>
            </w:pPr>
            <w:r>
              <w:rPr>
                <w:rFonts w:hint="eastAsia"/>
              </w:rPr>
              <w:t>10</w:t>
            </w:r>
          </w:p>
        </w:tc>
        <w:tc>
          <w:tcPr>
            <w:tcW w:w="314" w:type="pct"/>
            <w:vMerge w:val="continue"/>
            <w:vAlign w:val="center"/>
          </w:tcPr>
          <w:p w14:paraId="7B0B0FE8">
            <w:pPr>
              <w:jc w:val="both"/>
            </w:pPr>
          </w:p>
        </w:tc>
        <w:tc>
          <w:tcPr>
            <w:tcW w:w="1442" w:type="pct"/>
            <w:vMerge w:val="continue"/>
            <w:vAlign w:val="center"/>
          </w:tcPr>
          <w:p w14:paraId="45C47FCA">
            <w:pPr>
              <w:jc w:val="both"/>
            </w:pPr>
          </w:p>
        </w:tc>
      </w:tr>
      <w:tr w14:paraId="34D1E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46" w:type="pct"/>
            <w:vMerge w:val="restart"/>
            <w:vAlign w:val="center"/>
          </w:tcPr>
          <w:p w14:paraId="733BB4C2">
            <w:pPr>
              <w:jc w:val="both"/>
              <w:rPr>
                <w:rFonts w:hint="eastAsia" w:eastAsiaTheme="minorEastAsia"/>
                <w:lang w:eastAsia="zh-CN"/>
              </w:rPr>
            </w:pPr>
            <w:r>
              <w:rPr>
                <w:rFonts w:hint="eastAsia"/>
                <w:lang w:val="en-US" w:eastAsia="zh-CN"/>
              </w:rPr>
              <w:t>4</w:t>
            </w:r>
          </w:p>
        </w:tc>
        <w:tc>
          <w:tcPr>
            <w:tcW w:w="574" w:type="pct"/>
            <w:vMerge w:val="restart"/>
            <w:vAlign w:val="center"/>
          </w:tcPr>
          <w:p w14:paraId="794BF053">
            <w:pPr>
              <w:jc w:val="both"/>
              <w:rPr>
                <w:rFonts w:ascii="方正书宋简体" w:hAnsi="方正书宋简体" w:eastAsia="方正书宋简体" w:cs="方正书宋简体"/>
                <w:szCs w:val="21"/>
              </w:rPr>
            </w:pPr>
            <w:r>
              <w:rPr>
                <w:rFonts w:hint="eastAsia"/>
              </w:rPr>
              <w:t>园艺植物分类识别</w:t>
            </w:r>
          </w:p>
        </w:tc>
        <w:tc>
          <w:tcPr>
            <w:tcW w:w="456" w:type="pct"/>
            <w:vMerge w:val="restart"/>
            <w:vAlign w:val="center"/>
          </w:tcPr>
          <w:p w14:paraId="10023B33">
            <w:pPr>
              <w:jc w:val="both"/>
            </w:pPr>
            <w:r>
              <w:rPr>
                <w:rFonts w:hint="eastAsia"/>
              </w:rPr>
              <w:t>30min</w:t>
            </w:r>
          </w:p>
        </w:tc>
        <w:tc>
          <w:tcPr>
            <w:tcW w:w="1681" w:type="pct"/>
            <w:vAlign w:val="center"/>
          </w:tcPr>
          <w:p w14:paraId="551DEF78">
            <w:pPr>
              <w:jc w:val="both"/>
              <w:rPr>
                <w:szCs w:val="21"/>
              </w:rPr>
            </w:pPr>
            <w:r>
              <w:rPr>
                <w:rFonts w:hint="eastAsia"/>
              </w:rPr>
              <w:t>1.识别10种</w:t>
            </w:r>
            <w:r>
              <w:rPr>
                <w:rFonts w:hint="eastAsia"/>
                <w:lang w:val="en-US" w:eastAsia="zh-CN"/>
              </w:rPr>
              <w:t>园艺作物</w:t>
            </w:r>
            <w:r>
              <w:rPr>
                <w:rFonts w:hint="eastAsia"/>
              </w:rPr>
              <w:t>科名</w:t>
            </w:r>
          </w:p>
        </w:tc>
        <w:tc>
          <w:tcPr>
            <w:tcW w:w="282" w:type="pct"/>
            <w:vAlign w:val="center"/>
          </w:tcPr>
          <w:p w14:paraId="5D566BEE">
            <w:pPr>
              <w:jc w:val="both"/>
              <w:rPr>
                <w:rFonts w:ascii="方正书宋简体" w:hAnsi="方正书宋简体" w:eastAsia="方正书宋简体" w:cs="方正书宋简体"/>
                <w:szCs w:val="21"/>
              </w:rPr>
            </w:pPr>
            <w:r>
              <w:rPr>
                <w:rFonts w:hint="eastAsia"/>
              </w:rPr>
              <w:t>40</w:t>
            </w:r>
          </w:p>
        </w:tc>
        <w:tc>
          <w:tcPr>
            <w:tcW w:w="314" w:type="pct"/>
            <w:vMerge w:val="restart"/>
            <w:vAlign w:val="center"/>
          </w:tcPr>
          <w:p w14:paraId="4EDADE65">
            <w:pPr>
              <w:jc w:val="both"/>
            </w:pPr>
            <w:r>
              <w:rPr>
                <w:rFonts w:hint="eastAsia"/>
              </w:rPr>
              <w:t>2</w:t>
            </w:r>
            <w:r>
              <w:t>00</w:t>
            </w:r>
          </w:p>
        </w:tc>
        <w:tc>
          <w:tcPr>
            <w:tcW w:w="1442" w:type="pct"/>
            <w:vMerge w:val="restart"/>
            <w:vAlign w:val="center"/>
          </w:tcPr>
          <w:p w14:paraId="236B8C26">
            <w:pPr>
              <w:ind w:firstLine="240" w:firstLineChars="100"/>
              <w:jc w:val="both"/>
              <w:rPr>
                <w:rFonts w:ascii="方正书宋简体" w:hAnsi="方正书宋简体" w:eastAsia="方正书宋简体" w:cs="方正书宋简体"/>
                <w:szCs w:val="21"/>
                <w:highlight w:val="none"/>
              </w:rPr>
            </w:pPr>
            <w:r>
              <w:rPr>
                <w:rFonts w:hint="eastAsia"/>
              </w:rPr>
              <w:t>放大镜、镊子。</w:t>
            </w:r>
            <w:r>
              <w:rPr>
                <w:rFonts w:hint="eastAsia"/>
                <w:lang w:val="en-US" w:eastAsia="zh-CN"/>
              </w:rPr>
              <w:t>园艺</w:t>
            </w:r>
            <w:r>
              <w:rPr>
                <w:rFonts w:hint="eastAsia"/>
              </w:rPr>
              <w:t>作物标本或图片：</w:t>
            </w:r>
            <w:r>
              <w:rPr>
                <w:rFonts w:hint="eastAsia"/>
                <w:highlight w:val="none"/>
              </w:rPr>
              <w:t>结球白菜、花椰菜、花青菜、羽衣甘蓝、结球甘蓝、球茎甘蓝、芥菜、辣椒、茄子、番茄、菜豆、豇豆、豌豆、芹菜、韭菜、生菜、香菜、黄瓜、南瓜、大蒜、大葱、西瓜、甜瓜、萝卜、胡萝卜、牛蒡、花椰菜。</w:t>
            </w:r>
          </w:p>
          <w:p w14:paraId="64DEC96F">
            <w:pPr>
              <w:jc w:val="both"/>
            </w:pPr>
            <w:r>
              <w:rPr>
                <w:rFonts w:hint="eastAsia"/>
                <w:lang w:val="en-US" w:eastAsia="zh-CN"/>
              </w:rPr>
              <w:t>农</w:t>
            </w:r>
            <w:r>
              <w:rPr>
                <w:rFonts w:hint="eastAsia"/>
              </w:rPr>
              <w:t>杂草标本或图片：问荆、狗尾草、鸭舌草、稗、刺菜、苦荬菜、反枝苋、眼子菜、芦苇、蒲公英、葎草、车前草、马唐、龙葵、野慈姑、牵牛花、藜、萹蓄、野燕麦、苍耳、马齿苋、猪毛菜</w:t>
            </w:r>
          </w:p>
        </w:tc>
      </w:tr>
      <w:tr w14:paraId="4D9FB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46" w:type="pct"/>
            <w:vMerge w:val="continue"/>
            <w:vAlign w:val="center"/>
          </w:tcPr>
          <w:p w14:paraId="218B1C67">
            <w:pPr>
              <w:jc w:val="both"/>
            </w:pPr>
          </w:p>
        </w:tc>
        <w:tc>
          <w:tcPr>
            <w:tcW w:w="574" w:type="pct"/>
            <w:vMerge w:val="continue"/>
            <w:vAlign w:val="center"/>
          </w:tcPr>
          <w:p w14:paraId="234F0760">
            <w:pPr>
              <w:jc w:val="both"/>
            </w:pPr>
          </w:p>
        </w:tc>
        <w:tc>
          <w:tcPr>
            <w:tcW w:w="456" w:type="pct"/>
            <w:vMerge w:val="continue"/>
            <w:vAlign w:val="center"/>
          </w:tcPr>
          <w:p w14:paraId="756A08B9">
            <w:pPr>
              <w:jc w:val="both"/>
            </w:pPr>
          </w:p>
        </w:tc>
        <w:tc>
          <w:tcPr>
            <w:tcW w:w="1681" w:type="pct"/>
            <w:vAlign w:val="center"/>
          </w:tcPr>
          <w:p w14:paraId="2D00BE51">
            <w:pPr>
              <w:jc w:val="both"/>
              <w:rPr>
                <w:szCs w:val="21"/>
              </w:rPr>
            </w:pPr>
            <w:r>
              <w:rPr>
                <w:rFonts w:hint="eastAsia"/>
              </w:rPr>
              <w:t>2.识别10种</w:t>
            </w:r>
            <w:r>
              <w:rPr>
                <w:rFonts w:hint="eastAsia"/>
                <w:lang w:val="en-US" w:eastAsia="zh-CN"/>
              </w:rPr>
              <w:t>园艺作</w:t>
            </w:r>
            <w:r>
              <w:rPr>
                <w:rFonts w:hint="eastAsia"/>
              </w:rPr>
              <w:t>物种名</w:t>
            </w:r>
          </w:p>
        </w:tc>
        <w:tc>
          <w:tcPr>
            <w:tcW w:w="282" w:type="pct"/>
            <w:vAlign w:val="center"/>
          </w:tcPr>
          <w:p w14:paraId="63CF3ED3">
            <w:pPr>
              <w:jc w:val="both"/>
              <w:rPr>
                <w:rFonts w:ascii="方正书宋简体" w:hAnsi="方正书宋简体" w:eastAsia="方正书宋简体" w:cs="方正书宋简体"/>
                <w:szCs w:val="21"/>
              </w:rPr>
            </w:pPr>
            <w:r>
              <w:rPr>
                <w:rFonts w:hint="eastAsia"/>
              </w:rPr>
              <w:t>40</w:t>
            </w:r>
          </w:p>
        </w:tc>
        <w:tc>
          <w:tcPr>
            <w:tcW w:w="314" w:type="pct"/>
            <w:vMerge w:val="continue"/>
            <w:vAlign w:val="center"/>
          </w:tcPr>
          <w:p w14:paraId="3579107B">
            <w:pPr>
              <w:jc w:val="both"/>
            </w:pPr>
          </w:p>
        </w:tc>
        <w:tc>
          <w:tcPr>
            <w:tcW w:w="1442" w:type="pct"/>
            <w:vMerge w:val="continue"/>
            <w:vAlign w:val="center"/>
          </w:tcPr>
          <w:p w14:paraId="759D678C">
            <w:pPr>
              <w:jc w:val="both"/>
            </w:pPr>
          </w:p>
        </w:tc>
      </w:tr>
      <w:tr w14:paraId="4B8ED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46" w:type="pct"/>
            <w:vMerge w:val="continue"/>
            <w:vAlign w:val="center"/>
          </w:tcPr>
          <w:p w14:paraId="14983DC9">
            <w:pPr>
              <w:jc w:val="both"/>
            </w:pPr>
          </w:p>
        </w:tc>
        <w:tc>
          <w:tcPr>
            <w:tcW w:w="574" w:type="pct"/>
            <w:vMerge w:val="continue"/>
            <w:vAlign w:val="center"/>
          </w:tcPr>
          <w:p w14:paraId="450E6A29">
            <w:pPr>
              <w:jc w:val="both"/>
            </w:pPr>
          </w:p>
        </w:tc>
        <w:tc>
          <w:tcPr>
            <w:tcW w:w="456" w:type="pct"/>
            <w:vMerge w:val="continue"/>
            <w:vAlign w:val="center"/>
          </w:tcPr>
          <w:p w14:paraId="47C5F899">
            <w:pPr>
              <w:jc w:val="both"/>
            </w:pPr>
          </w:p>
        </w:tc>
        <w:tc>
          <w:tcPr>
            <w:tcW w:w="1681" w:type="pct"/>
            <w:vAlign w:val="center"/>
          </w:tcPr>
          <w:p w14:paraId="7940C210">
            <w:pPr>
              <w:jc w:val="both"/>
              <w:rPr>
                <w:szCs w:val="21"/>
              </w:rPr>
            </w:pPr>
            <w:r>
              <w:rPr>
                <w:rFonts w:hint="eastAsia"/>
              </w:rPr>
              <w:t>3.识别10种农田杂草科名</w:t>
            </w:r>
          </w:p>
        </w:tc>
        <w:tc>
          <w:tcPr>
            <w:tcW w:w="282" w:type="pct"/>
            <w:vAlign w:val="center"/>
          </w:tcPr>
          <w:p w14:paraId="4711F34B">
            <w:pPr>
              <w:jc w:val="both"/>
              <w:rPr>
                <w:rFonts w:ascii="方正书宋简体" w:hAnsi="方正书宋简体" w:eastAsia="方正书宋简体" w:cs="方正书宋简体"/>
                <w:szCs w:val="21"/>
              </w:rPr>
            </w:pPr>
            <w:r>
              <w:rPr>
                <w:rFonts w:hint="eastAsia"/>
              </w:rPr>
              <w:t>40</w:t>
            </w:r>
          </w:p>
        </w:tc>
        <w:tc>
          <w:tcPr>
            <w:tcW w:w="314" w:type="pct"/>
            <w:vMerge w:val="continue"/>
            <w:vAlign w:val="center"/>
          </w:tcPr>
          <w:p w14:paraId="054BFACD">
            <w:pPr>
              <w:jc w:val="both"/>
            </w:pPr>
          </w:p>
        </w:tc>
        <w:tc>
          <w:tcPr>
            <w:tcW w:w="1442" w:type="pct"/>
            <w:vMerge w:val="continue"/>
            <w:vAlign w:val="center"/>
          </w:tcPr>
          <w:p w14:paraId="23E55E2F">
            <w:pPr>
              <w:jc w:val="both"/>
            </w:pPr>
          </w:p>
        </w:tc>
      </w:tr>
      <w:tr w14:paraId="258B1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46" w:type="pct"/>
            <w:vMerge w:val="continue"/>
            <w:vAlign w:val="center"/>
          </w:tcPr>
          <w:p w14:paraId="237E977F">
            <w:pPr>
              <w:jc w:val="both"/>
            </w:pPr>
          </w:p>
        </w:tc>
        <w:tc>
          <w:tcPr>
            <w:tcW w:w="574" w:type="pct"/>
            <w:vMerge w:val="continue"/>
            <w:vAlign w:val="center"/>
          </w:tcPr>
          <w:p w14:paraId="65325669">
            <w:pPr>
              <w:jc w:val="both"/>
            </w:pPr>
          </w:p>
        </w:tc>
        <w:tc>
          <w:tcPr>
            <w:tcW w:w="456" w:type="pct"/>
            <w:vMerge w:val="continue"/>
            <w:vAlign w:val="center"/>
          </w:tcPr>
          <w:p w14:paraId="0923CC77">
            <w:pPr>
              <w:jc w:val="both"/>
            </w:pPr>
          </w:p>
        </w:tc>
        <w:tc>
          <w:tcPr>
            <w:tcW w:w="1681" w:type="pct"/>
            <w:vAlign w:val="center"/>
          </w:tcPr>
          <w:p w14:paraId="2B04A7B4">
            <w:pPr>
              <w:jc w:val="both"/>
              <w:rPr>
                <w:szCs w:val="21"/>
              </w:rPr>
            </w:pPr>
            <w:r>
              <w:rPr>
                <w:rFonts w:hint="eastAsia"/>
              </w:rPr>
              <w:t>4.识别10种农田杂草种名</w:t>
            </w:r>
          </w:p>
        </w:tc>
        <w:tc>
          <w:tcPr>
            <w:tcW w:w="282" w:type="pct"/>
            <w:vAlign w:val="center"/>
          </w:tcPr>
          <w:p w14:paraId="36DEDD69">
            <w:pPr>
              <w:jc w:val="both"/>
              <w:rPr>
                <w:rFonts w:ascii="方正书宋简体" w:hAnsi="方正书宋简体" w:eastAsia="方正书宋简体" w:cs="方正书宋简体"/>
                <w:szCs w:val="21"/>
              </w:rPr>
            </w:pPr>
            <w:r>
              <w:rPr>
                <w:rFonts w:hint="eastAsia"/>
              </w:rPr>
              <w:t>40</w:t>
            </w:r>
          </w:p>
        </w:tc>
        <w:tc>
          <w:tcPr>
            <w:tcW w:w="314" w:type="pct"/>
            <w:vMerge w:val="continue"/>
            <w:vAlign w:val="center"/>
          </w:tcPr>
          <w:p w14:paraId="53EA6AC4">
            <w:pPr>
              <w:jc w:val="both"/>
            </w:pPr>
          </w:p>
        </w:tc>
        <w:tc>
          <w:tcPr>
            <w:tcW w:w="1442" w:type="pct"/>
            <w:vMerge w:val="continue"/>
            <w:vAlign w:val="center"/>
          </w:tcPr>
          <w:p w14:paraId="0427BFC5">
            <w:pPr>
              <w:jc w:val="both"/>
            </w:pPr>
          </w:p>
        </w:tc>
      </w:tr>
      <w:tr w14:paraId="52700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46" w:type="pct"/>
            <w:vMerge w:val="continue"/>
            <w:vAlign w:val="center"/>
          </w:tcPr>
          <w:p w14:paraId="31727093">
            <w:pPr>
              <w:jc w:val="both"/>
            </w:pPr>
          </w:p>
        </w:tc>
        <w:tc>
          <w:tcPr>
            <w:tcW w:w="574" w:type="pct"/>
            <w:vMerge w:val="continue"/>
            <w:vAlign w:val="center"/>
          </w:tcPr>
          <w:p w14:paraId="0EF5E321">
            <w:pPr>
              <w:jc w:val="both"/>
            </w:pPr>
          </w:p>
        </w:tc>
        <w:tc>
          <w:tcPr>
            <w:tcW w:w="456" w:type="pct"/>
            <w:vMerge w:val="continue"/>
            <w:vAlign w:val="center"/>
          </w:tcPr>
          <w:p w14:paraId="04D76C10">
            <w:pPr>
              <w:jc w:val="both"/>
            </w:pPr>
          </w:p>
        </w:tc>
        <w:tc>
          <w:tcPr>
            <w:tcW w:w="1681" w:type="pct"/>
            <w:vAlign w:val="center"/>
          </w:tcPr>
          <w:p w14:paraId="0B46F13F">
            <w:pPr>
              <w:jc w:val="both"/>
              <w:rPr>
                <w:szCs w:val="21"/>
              </w:rPr>
            </w:pPr>
            <w:r>
              <w:rPr>
                <w:rFonts w:hint="eastAsia"/>
              </w:rPr>
              <w:t>5.说明</w:t>
            </w:r>
            <w:r>
              <w:rPr>
                <w:rFonts w:hint="eastAsia"/>
                <w:lang w:val="en-US" w:eastAsia="zh-CN"/>
              </w:rPr>
              <w:t>农田</w:t>
            </w:r>
            <w:r>
              <w:rPr>
                <w:rFonts w:hint="eastAsia"/>
              </w:rPr>
              <w:t>杂草防治方法</w:t>
            </w:r>
          </w:p>
        </w:tc>
        <w:tc>
          <w:tcPr>
            <w:tcW w:w="282" w:type="pct"/>
            <w:vAlign w:val="center"/>
          </w:tcPr>
          <w:p w14:paraId="251ECF8C">
            <w:pPr>
              <w:jc w:val="both"/>
              <w:rPr>
                <w:rFonts w:ascii="方正书宋简体" w:hAnsi="方正书宋简体" w:eastAsia="方正书宋简体" w:cs="方正书宋简体"/>
                <w:szCs w:val="21"/>
              </w:rPr>
            </w:pPr>
            <w:r>
              <w:rPr>
                <w:rFonts w:hint="eastAsia"/>
              </w:rPr>
              <w:t>40</w:t>
            </w:r>
          </w:p>
        </w:tc>
        <w:tc>
          <w:tcPr>
            <w:tcW w:w="314" w:type="pct"/>
            <w:vMerge w:val="continue"/>
            <w:vAlign w:val="center"/>
          </w:tcPr>
          <w:p w14:paraId="497E70C0">
            <w:pPr>
              <w:jc w:val="both"/>
            </w:pPr>
          </w:p>
        </w:tc>
        <w:tc>
          <w:tcPr>
            <w:tcW w:w="1442" w:type="pct"/>
            <w:vMerge w:val="continue"/>
            <w:vAlign w:val="center"/>
          </w:tcPr>
          <w:p w14:paraId="3350CAF9">
            <w:pPr>
              <w:jc w:val="both"/>
            </w:pPr>
          </w:p>
        </w:tc>
      </w:tr>
      <w:tr w14:paraId="1C5D5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46" w:type="pct"/>
            <w:vMerge w:val="restart"/>
            <w:vAlign w:val="center"/>
          </w:tcPr>
          <w:p w14:paraId="02AAB5D5">
            <w:pPr>
              <w:jc w:val="both"/>
            </w:pPr>
          </w:p>
          <w:p w14:paraId="1AA3065D">
            <w:pPr>
              <w:jc w:val="both"/>
              <w:rPr>
                <w:rFonts w:hint="eastAsia" w:eastAsiaTheme="minorEastAsia"/>
                <w:lang w:eastAsia="zh-CN"/>
              </w:rPr>
            </w:pPr>
            <w:r>
              <w:rPr>
                <w:rFonts w:hint="eastAsia"/>
                <w:lang w:val="en-US" w:eastAsia="zh-CN"/>
              </w:rPr>
              <w:t>5</w:t>
            </w:r>
          </w:p>
        </w:tc>
        <w:tc>
          <w:tcPr>
            <w:tcW w:w="574" w:type="pct"/>
            <w:vMerge w:val="restart"/>
            <w:vAlign w:val="center"/>
          </w:tcPr>
          <w:p w14:paraId="2C40E458">
            <w:pPr>
              <w:jc w:val="both"/>
              <w:rPr>
                <w:rFonts w:ascii="方正书宋简体" w:hAnsi="方正书宋简体" w:eastAsia="方正书宋简体" w:cs="方正书宋简体"/>
              </w:rPr>
            </w:pPr>
            <w:r>
              <w:rPr>
                <w:rFonts w:hint="eastAsia"/>
              </w:rPr>
              <w:t>蔬菜种子播种前处理技术</w:t>
            </w:r>
          </w:p>
        </w:tc>
        <w:tc>
          <w:tcPr>
            <w:tcW w:w="456" w:type="pct"/>
            <w:vMerge w:val="restart"/>
            <w:vAlign w:val="center"/>
          </w:tcPr>
          <w:p w14:paraId="4BBF9088">
            <w:pPr>
              <w:jc w:val="both"/>
            </w:pPr>
            <w:r>
              <w:rPr>
                <w:rFonts w:hint="eastAsia"/>
              </w:rPr>
              <w:t>30min</w:t>
            </w:r>
          </w:p>
        </w:tc>
        <w:tc>
          <w:tcPr>
            <w:tcW w:w="1681" w:type="pct"/>
            <w:vAlign w:val="center"/>
          </w:tcPr>
          <w:p w14:paraId="5EDBD821">
            <w:pPr>
              <w:jc w:val="both"/>
              <w:rPr>
                <w:szCs w:val="21"/>
              </w:rPr>
            </w:pPr>
            <w:r>
              <w:rPr>
                <w:rFonts w:hint="eastAsia"/>
              </w:rPr>
              <w:t>1.种子质量检查准备</w:t>
            </w:r>
          </w:p>
        </w:tc>
        <w:tc>
          <w:tcPr>
            <w:tcW w:w="282" w:type="pct"/>
            <w:vAlign w:val="center"/>
          </w:tcPr>
          <w:p w14:paraId="4500F28B">
            <w:pPr>
              <w:jc w:val="both"/>
              <w:rPr>
                <w:rFonts w:ascii="方正书宋简体" w:hAnsi="方正书宋简体" w:eastAsia="方正书宋简体" w:cs="方正书宋简体"/>
                <w:szCs w:val="21"/>
              </w:rPr>
            </w:pPr>
            <w:r>
              <w:rPr>
                <w:rFonts w:hint="eastAsia"/>
              </w:rPr>
              <w:t>15</w:t>
            </w:r>
          </w:p>
        </w:tc>
        <w:tc>
          <w:tcPr>
            <w:tcW w:w="314" w:type="pct"/>
            <w:vMerge w:val="restart"/>
            <w:vAlign w:val="center"/>
          </w:tcPr>
          <w:p w14:paraId="35F74774">
            <w:pPr>
              <w:jc w:val="both"/>
            </w:pPr>
            <w:r>
              <w:rPr>
                <w:rFonts w:hint="eastAsia"/>
              </w:rPr>
              <w:t>2</w:t>
            </w:r>
            <w:r>
              <w:t>00</w:t>
            </w:r>
          </w:p>
        </w:tc>
        <w:tc>
          <w:tcPr>
            <w:tcW w:w="1442" w:type="pct"/>
            <w:vMerge w:val="restart"/>
            <w:vAlign w:val="center"/>
          </w:tcPr>
          <w:p w14:paraId="76ACCADE">
            <w:pPr>
              <w:jc w:val="both"/>
              <w:rPr>
                <w:rFonts w:hint="eastAsia" w:eastAsiaTheme="minorEastAsia"/>
                <w:lang w:eastAsia="zh-CN"/>
              </w:rPr>
            </w:pPr>
            <w:r>
              <w:rPr>
                <w:rFonts w:hint="eastAsia"/>
              </w:rPr>
              <w:t>蔬菜种子、热水、容器、温度计、搅拌棒、清洁布</w:t>
            </w:r>
          </w:p>
        </w:tc>
      </w:tr>
      <w:tr w14:paraId="28F6C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46" w:type="pct"/>
            <w:vMerge w:val="continue"/>
            <w:vAlign w:val="center"/>
          </w:tcPr>
          <w:p w14:paraId="4E849195">
            <w:pPr>
              <w:jc w:val="both"/>
            </w:pPr>
          </w:p>
        </w:tc>
        <w:tc>
          <w:tcPr>
            <w:tcW w:w="574" w:type="pct"/>
            <w:vMerge w:val="continue"/>
            <w:vAlign w:val="center"/>
          </w:tcPr>
          <w:p w14:paraId="70AD79F8">
            <w:pPr>
              <w:jc w:val="both"/>
            </w:pPr>
          </w:p>
        </w:tc>
        <w:tc>
          <w:tcPr>
            <w:tcW w:w="456" w:type="pct"/>
            <w:vMerge w:val="continue"/>
            <w:vAlign w:val="center"/>
          </w:tcPr>
          <w:p w14:paraId="0DAF7573">
            <w:pPr>
              <w:jc w:val="both"/>
            </w:pPr>
          </w:p>
        </w:tc>
        <w:tc>
          <w:tcPr>
            <w:tcW w:w="1681" w:type="pct"/>
            <w:vAlign w:val="center"/>
          </w:tcPr>
          <w:p w14:paraId="7A8C5FD1">
            <w:pPr>
              <w:jc w:val="both"/>
              <w:rPr>
                <w:rFonts w:hAnsi="宋体"/>
                <w:szCs w:val="21"/>
              </w:rPr>
            </w:pPr>
            <w:r>
              <w:rPr>
                <w:rFonts w:hint="eastAsia"/>
              </w:rPr>
              <w:t>2.播种器具准备</w:t>
            </w:r>
          </w:p>
        </w:tc>
        <w:tc>
          <w:tcPr>
            <w:tcW w:w="282" w:type="pct"/>
            <w:vAlign w:val="center"/>
          </w:tcPr>
          <w:p w14:paraId="5EC7B32C">
            <w:pPr>
              <w:jc w:val="both"/>
              <w:rPr>
                <w:rFonts w:ascii="方正书宋简体" w:hAnsi="方正书宋简体" w:eastAsia="方正书宋简体" w:cs="方正书宋简体"/>
                <w:szCs w:val="21"/>
              </w:rPr>
            </w:pPr>
            <w:r>
              <w:rPr>
                <w:rFonts w:hint="eastAsia"/>
              </w:rPr>
              <w:t>15</w:t>
            </w:r>
          </w:p>
        </w:tc>
        <w:tc>
          <w:tcPr>
            <w:tcW w:w="314" w:type="pct"/>
            <w:vMerge w:val="continue"/>
            <w:vAlign w:val="center"/>
          </w:tcPr>
          <w:p w14:paraId="4920C9BC">
            <w:pPr>
              <w:jc w:val="both"/>
            </w:pPr>
          </w:p>
        </w:tc>
        <w:tc>
          <w:tcPr>
            <w:tcW w:w="1442" w:type="pct"/>
            <w:vMerge w:val="continue"/>
            <w:vAlign w:val="center"/>
          </w:tcPr>
          <w:p w14:paraId="7167F94F">
            <w:pPr>
              <w:jc w:val="both"/>
            </w:pPr>
          </w:p>
        </w:tc>
      </w:tr>
      <w:tr w14:paraId="5EE21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46" w:type="pct"/>
            <w:vMerge w:val="continue"/>
            <w:vAlign w:val="center"/>
          </w:tcPr>
          <w:p w14:paraId="64B28DBF">
            <w:pPr>
              <w:jc w:val="both"/>
            </w:pPr>
          </w:p>
        </w:tc>
        <w:tc>
          <w:tcPr>
            <w:tcW w:w="574" w:type="pct"/>
            <w:vMerge w:val="continue"/>
            <w:vAlign w:val="center"/>
          </w:tcPr>
          <w:p w14:paraId="7DE302E4">
            <w:pPr>
              <w:jc w:val="both"/>
            </w:pPr>
          </w:p>
        </w:tc>
        <w:tc>
          <w:tcPr>
            <w:tcW w:w="456" w:type="pct"/>
            <w:vMerge w:val="continue"/>
            <w:vAlign w:val="center"/>
          </w:tcPr>
          <w:p w14:paraId="3BE8C9E0">
            <w:pPr>
              <w:jc w:val="both"/>
            </w:pPr>
          </w:p>
        </w:tc>
        <w:tc>
          <w:tcPr>
            <w:tcW w:w="1681" w:type="pct"/>
            <w:vAlign w:val="center"/>
          </w:tcPr>
          <w:p w14:paraId="1CEEB32A">
            <w:pPr>
              <w:jc w:val="both"/>
              <w:rPr>
                <w:rFonts w:hAnsi="宋体"/>
                <w:szCs w:val="21"/>
              </w:rPr>
            </w:pPr>
            <w:r>
              <w:rPr>
                <w:rFonts w:hint="eastAsia"/>
              </w:rPr>
              <w:t>3.将种子正确放入容器内</w:t>
            </w:r>
          </w:p>
        </w:tc>
        <w:tc>
          <w:tcPr>
            <w:tcW w:w="282" w:type="pct"/>
            <w:vAlign w:val="center"/>
          </w:tcPr>
          <w:p w14:paraId="5B03147D">
            <w:pPr>
              <w:jc w:val="both"/>
              <w:rPr>
                <w:rFonts w:ascii="方正书宋简体" w:hAnsi="方正书宋简体" w:eastAsia="方正书宋简体" w:cs="方正书宋简体"/>
                <w:szCs w:val="21"/>
              </w:rPr>
            </w:pPr>
            <w:r>
              <w:rPr>
                <w:rFonts w:hint="eastAsia"/>
              </w:rPr>
              <w:t>20</w:t>
            </w:r>
          </w:p>
        </w:tc>
        <w:tc>
          <w:tcPr>
            <w:tcW w:w="314" w:type="pct"/>
            <w:vMerge w:val="continue"/>
            <w:vAlign w:val="center"/>
          </w:tcPr>
          <w:p w14:paraId="6D90B6F6">
            <w:pPr>
              <w:jc w:val="both"/>
            </w:pPr>
          </w:p>
        </w:tc>
        <w:tc>
          <w:tcPr>
            <w:tcW w:w="1442" w:type="pct"/>
            <w:vMerge w:val="continue"/>
            <w:vAlign w:val="center"/>
          </w:tcPr>
          <w:p w14:paraId="22BD81FB">
            <w:pPr>
              <w:jc w:val="both"/>
            </w:pPr>
          </w:p>
        </w:tc>
      </w:tr>
      <w:tr w14:paraId="438E4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46" w:type="pct"/>
            <w:vMerge w:val="continue"/>
            <w:vAlign w:val="center"/>
          </w:tcPr>
          <w:p w14:paraId="07780E6E">
            <w:pPr>
              <w:jc w:val="both"/>
            </w:pPr>
          </w:p>
        </w:tc>
        <w:tc>
          <w:tcPr>
            <w:tcW w:w="574" w:type="pct"/>
            <w:vMerge w:val="continue"/>
            <w:vAlign w:val="center"/>
          </w:tcPr>
          <w:p w14:paraId="48D15ECA">
            <w:pPr>
              <w:jc w:val="both"/>
            </w:pPr>
          </w:p>
        </w:tc>
        <w:tc>
          <w:tcPr>
            <w:tcW w:w="456" w:type="pct"/>
            <w:vMerge w:val="continue"/>
            <w:vAlign w:val="center"/>
          </w:tcPr>
          <w:p w14:paraId="4D53C804">
            <w:pPr>
              <w:jc w:val="both"/>
            </w:pPr>
          </w:p>
        </w:tc>
        <w:tc>
          <w:tcPr>
            <w:tcW w:w="1681" w:type="pct"/>
            <w:vAlign w:val="center"/>
          </w:tcPr>
          <w:p w14:paraId="0644BDAF">
            <w:pPr>
              <w:jc w:val="both"/>
              <w:rPr>
                <w:rFonts w:hAnsi="宋体"/>
                <w:szCs w:val="21"/>
              </w:rPr>
            </w:pPr>
            <w:r>
              <w:rPr>
                <w:rFonts w:hint="eastAsia"/>
              </w:rPr>
              <w:t>4.浸种时间确定</w:t>
            </w:r>
          </w:p>
        </w:tc>
        <w:tc>
          <w:tcPr>
            <w:tcW w:w="282" w:type="pct"/>
            <w:vAlign w:val="center"/>
          </w:tcPr>
          <w:p w14:paraId="6262F9C1">
            <w:pPr>
              <w:jc w:val="both"/>
              <w:rPr>
                <w:rFonts w:ascii="方正书宋简体" w:hAnsi="方正书宋简体" w:eastAsia="方正书宋简体" w:cs="方正书宋简体"/>
                <w:szCs w:val="21"/>
              </w:rPr>
            </w:pPr>
            <w:r>
              <w:rPr>
                <w:rFonts w:hint="eastAsia"/>
              </w:rPr>
              <w:t>40</w:t>
            </w:r>
          </w:p>
        </w:tc>
        <w:tc>
          <w:tcPr>
            <w:tcW w:w="314" w:type="pct"/>
            <w:vMerge w:val="continue"/>
            <w:vAlign w:val="center"/>
          </w:tcPr>
          <w:p w14:paraId="2F607C62">
            <w:pPr>
              <w:jc w:val="both"/>
            </w:pPr>
          </w:p>
        </w:tc>
        <w:tc>
          <w:tcPr>
            <w:tcW w:w="1442" w:type="pct"/>
            <w:vMerge w:val="continue"/>
            <w:vAlign w:val="center"/>
          </w:tcPr>
          <w:p w14:paraId="5DF3E59A">
            <w:pPr>
              <w:jc w:val="both"/>
            </w:pPr>
          </w:p>
        </w:tc>
      </w:tr>
      <w:tr w14:paraId="2C7A6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246" w:type="pct"/>
            <w:vMerge w:val="continue"/>
            <w:vAlign w:val="center"/>
          </w:tcPr>
          <w:p w14:paraId="440C5F1F">
            <w:pPr>
              <w:jc w:val="both"/>
            </w:pPr>
          </w:p>
        </w:tc>
        <w:tc>
          <w:tcPr>
            <w:tcW w:w="574" w:type="pct"/>
            <w:vMerge w:val="continue"/>
            <w:vAlign w:val="center"/>
          </w:tcPr>
          <w:p w14:paraId="72CA0171">
            <w:pPr>
              <w:jc w:val="both"/>
            </w:pPr>
          </w:p>
        </w:tc>
        <w:tc>
          <w:tcPr>
            <w:tcW w:w="456" w:type="pct"/>
            <w:vMerge w:val="continue"/>
            <w:vAlign w:val="center"/>
          </w:tcPr>
          <w:p w14:paraId="6C65FB44">
            <w:pPr>
              <w:jc w:val="both"/>
            </w:pPr>
          </w:p>
        </w:tc>
        <w:tc>
          <w:tcPr>
            <w:tcW w:w="1681" w:type="pct"/>
            <w:vAlign w:val="center"/>
          </w:tcPr>
          <w:p w14:paraId="4CA7A0F9">
            <w:pPr>
              <w:jc w:val="both"/>
              <w:rPr>
                <w:szCs w:val="21"/>
              </w:rPr>
            </w:pPr>
            <w:r>
              <w:rPr>
                <w:rFonts w:hint="eastAsia"/>
              </w:rPr>
              <w:t>5.温汤浸种操作</w:t>
            </w:r>
          </w:p>
        </w:tc>
        <w:tc>
          <w:tcPr>
            <w:tcW w:w="282" w:type="pct"/>
            <w:vAlign w:val="center"/>
          </w:tcPr>
          <w:p w14:paraId="01C7B3E6">
            <w:pPr>
              <w:jc w:val="both"/>
              <w:rPr>
                <w:rFonts w:ascii="方正书宋简体" w:hAnsi="方正书宋简体" w:eastAsia="方正书宋简体" w:cs="方正书宋简体"/>
                <w:szCs w:val="21"/>
              </w:rPr>
            </w:pPr>
            <w:r>
              <w:rPr>
                <w:rFonts w:hint="eastAsia"/>
              </w:rPr>
              <w:t>40</w:t>
            </w:r>
          </w:p>
        </w:tc>
        <w:tc>
          <w:tcPr>
            <w:tcW w:w="314" w:type="pct"/>
            <w:vMerge w:val="continue"/>
            <w:vAlign w:val="center"/>
          </w:tcPr>
          <w:p w14:paraId="000BB4CE">
            <w:pPr>
              <w:jc w:val="both"/>
            </w:pPr>
          </w:p>
        </w:tc>
        <w:tc>
          <w:tcPr>
            <w:tcW w:w="1442" w:type="pct"/>
            <w:vMerge w:val="continue"/>
            <w:vAlign w:val="center"/>
          </w:tcPr>
          <w:p w14:paraId="5D969515">
            <w:pPr>
              <w:jc w:val="both"/>
            </w:pPr>
          </w:p>
        </w:tc>
      </w:tr>
      <w:tr w14:paraId="1C481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246" w:type="pct"/>
            <w:vMerge w:val="continue"/>
            <w:vAlign w:val="center"/>
          </w:tcPr>
          <w:p w14:paraId="0CCB0F78">
            <w:pPr>
              <w:jc w:val="both"/>
            </w:pPr>
          </w:p>
        </w:tc>
        <w:tc>
          <w:tcPr>
            <w:tcW w:w="574" w:type="pct"/>
            <w:vMerge w:val="continue"/>
            <w:vAlign w:val="center"/>
          </w:tcPr>
          <w:p w14:paraId="38A3FE5F">
            <w:pPr>
              <w:jc w:val="both"/>
            </w:pPr>
          </w:p>
        </w:tc>
        <w:tc>
          <w:tcPr>
            <w:tcW w:w="456" w:type="pct"/>
            <w:vMerge w:val="continue"/>
            <w:vAlign w:val="center"/>
          </w:tcPr>
          <w:p w14:paraId="579CD96C">
            <w:pPr>
              <w:jc w:val="both"/>
            </w:pPr>
          </w:p>
        </w:tc>
        <w:tc>
          <w:tcPr>
            <w:tcW w:w="1681" w:type="pct"/>
            <w:vAlign w:val="center"/>
          </w:tcPr>
          <w:p w14:paraId="237A36B2">
            <w:pPr>
              <w:jc w:val="both"/>
              <w:rPr>
                <w:szCs w:val="21"/>
              </w:rPr>
            </w:pPr>
            <w:r>
              <w:rPr>
                <w:rFonts w:hint="eastAsia"/>
              </w:rPr>
              <w:t>6.安全操作与环境保护</w:t>
            </w:r>
          </w:p>
        </w:tc>
        <w:tc>
          <w:tcPr>
            <w:tcW w:w="282" w:type="pct"/>
            <w:vAlign w:val="center"/>
          </w:tcPr>
          <w:p w14:paraId="0582BFA0">
            <w:pPr>
              <w:jc w:val="both"/>
              <w:rPr>
                <w:rFonts w:ascii="方正书宋简体" w:hAnsi="方正书宋简体" w:eastAsia="方正书宋简体" w:cs="方正书宋简体"/>
                <w:szCs w:val="21"/>
              </w:rPr>
            </w:pPr>
            <w:r>
              <w:rPr>
                <w:rFonts w:hint="eastAsia"/>
              </w:rPr>
              <w:t>50</w:t>
            </w:r>
          </w:p>
        </w:tc>
        <w:tc>
          <w:tcPr>
            <w:tcW w:w="314" w:type="pct"/>
            <w:vMerge w:val="continue"/>
            <w:vAlign w:val="center"/>
          </w:tcPr>
          <w:p w14:paraId="5402CE9C">
            <w:pPr>
              <w:jc w:val="both"/>
            </w:pPr>
          </w:p>
        </w:tc>
        <w:tc>
          <w:tcPr>
            <w:tcW w:w="1442" w:type="pct"/>
            <w:vMerge w:val="continue"/>
            <w:vAlign w:val="center"/>
          </w:tcPr>
          <w:p w14:paraId="72EDD8AE">
            <w:pPr>
              <w:jc w:val="both"/>
            </w:pPr>
          </w:p>
        </w:tc>
      </w:tr>
      <w:tr w14:paraId="49DE0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46" w:type="pct"/>
            <w:vMerge w:val="continue"/>
            <w:vAlign w:val="center"/>
          </w:tcPr>
          <w:p w14:paraId="578AA8F5">
            <w:pPr>
              <w:jc w:val="both"/>
            </w:pPr>
          </w:p>
        </w:tc>
        <w:tc>
          <w:tcPr>
            <w:tcW w:w="574" w:type="pct"/>
            <w:vMerge w:val="continue"/>
            <w:vAlign w:val="center"/>
          </w:tcPr>
          <w:p w14:paraId="41783F7A">
            <w:pPr>
              <w:jc w:val="both"/>
            </w:pPr>
          </w:p>
        </w:tc>
        <w:tc>
          <w:tcPr>
            <w:tcW w:w="456" w:type="pct"/>
            <w:vMerge w:val="continue"/>
            <w:vAlign w:val="center"/>
          </w:tcPr>
          <w:p w14:paraId="5385C17D">
            <w:pPr>
              <w:jc w:val="both"/>
            </w:pPr>
          </w:p>
        </w:tc>
        <w:tc>
          <w:tcPr>
            <w:tcW w:w="1681" w:type="pct"/>
            <w:vAlign w:val="center"/>
          </w:tcPr>
          <w:p w14:paraId="3D4C096D">
            <w:pPr>
              <w:jc w:val="both"/>
              <w:rPr>
                <w:szCs w:val="21"/>
              </w:rPr>
            </w:pPr>
            <w:r>
              <w:rPr>
                <w:rFonts w:hint="eastAsia"/>
              </w:rPr>
              <w:t>7. 浸种后水分处理</w:t>
            </w:r>
          </w:p>
        </w:tc>
        <w:tc>
          <w:tcPr>
            <w:tcW w:w="282" w:type="pct"/>
            <w:vAlign w:val="center"/>
          </w:tcPr>
          <w:p w14:paraId="155C1557">
            <w:pPr>
              <w:jc w:val="both"/>
              <w:rPr>
                <w:rFonts w:ascii="方正书宋简体" w:hAnsi="方正书宋简体" w:eastAsia="方正书宋简体" w:cs="方正书宋简体"/>
                <w:szCs w:val="21"/>
              </w:rPr>
            </w:pPr>
            <w:r>
              <w:rPr>
                <w:rFonts w:hint="eastAsia"/>
              </w:rPr>
              <w:t>20</w:t>
            </w:r>
          </w:p>
        </w:tc>
        <w:tc>
          <w:tcPr>
            <w:tcW w:w="314" w:type="pct"/>
            <w:vMerge w:val="continue"/>
            <w:vAlign w:val="center"/>
          </w:tcPr>
          <w:p w14:paraId="6B7A62B7">
            <w:pPr>
              <w:jc w:val="both"/>
            </w:pPr>
          </w:p>
        </w:tc>
        <w:tc>
          <w:tcPr>
            <w:tcW w:w="1442" w:type="pct"/>
            <w:vMerge w:val="continue"/>
            <w:vAlign w:val="center"/>
          </w:tcPr>
          <w:p w14:paraId="6CC748A1">
            <w:pPr>
              <w:jc w:val="both"/>
            </w:pPr>
          </w:p>
        </w:tc>
      </w:tr>
    </w:tbl>
    <w:p w14:paraId="1688E4A8"/>
    <w:p w14:paraId="6BB723B0">
      <w:pPr>
        <w:pStyle w:val="3"/>
        <w:ind w:firstLine="482" w:firstLineChars="200"/>
        <w:rPr>
          <w:rFonts w:hint="default"/>
        </w:rPr>
      </w:pPr>
      <w:r>
        <w:t>五</w:t>
      </w:r>
      <w:r>
        <w:rPr>
          <w:rFonts w:hint="default"/>
        </w:rPr>
        <w:t>、</w:t>
      </w:r>
      <w:r>
        <w:t>考试大纲编制说明</w:t>
      </w:r>
    </w:p>
    <w:p w14:paraId="3B44A2AE">
      <w:pPr>
        <w:ind w:firstLine="480" w:firstLineChars="200"/>
      </w:pPr>
      <w:r>
        <w:rPr>
          <w:rFonts w:hint="eastAsia"/>
        </w:rPr>
        <w:t>1.考试大纲编制原则</w:t>
      </w:r>
    </w:p>
    <w:p w14:paraId="2E9494BE">
      <w:pPr>
        <w:ind w:firstLine="480" w:firstLineChars="200"/>
      </w:pPr>
      <w:r>
        <w:rPr>
          <w:rFonts w:hint="eastAsia"/>
        </w:rPr>
        <w:t>遵循专业基础知识和岗位核心能力相结合原则，选取典型专业技能项目，将专业知识融入技能操作，考查技能训练教学效果，考核学生职业岗位工作过程；兼顾中等职业学校园艺技术专业教学标准和技术新标准，选取通用知识与技能作为考核项目。</w:t>
      </w:r>
    </w:p>
    <w:p w14:paraId="7AD340C2">
      <w:pPr>
        <w:ind w:firstLine="480" w:firstLineChars="200"/>
      </w:pPr>
      <w:r>
        <w:rPr>
          <w:rFonts w:hint="eastAsia"/>
        </w:rPr>
        <w:t>2.考试大纲适用专业</w:t>
      </w:r>
    </w:p>
    <w:p w14:paraId="47493351">
      <w:pPr>
        <w:ind w:firstLine="480" w:firstLineChars="200"/>
      </w:pPr>
      <w:r>
        <w:rPr>
          <w:rFonts w:hint="eastAsia"/>
        </w:rPr>
        <w:t>本考试大纲适用于中等职业学校园艺技术专业。</w:t>
      </w:r>
    </w:p>
    <w:p w14:paraId="7851E4CC">
      <w:pPr>
        <w:ind w:firstLine="480" w:firstLineChars="200"/>
      </w:pPr>
      <w:r>
        <w:rPr>
          <w:rFonts w:hint="eastAsia"/>
        </w:rPr>
        <w:t>3.教学内容及实施建议</w:t>
      </w:r>
    </w:p>
    <w:p w14:paraId="3329CC3D">
      <w:pPr>
        <w:ind w:firstLine="240" w:firstLineChars="100"/>
      </w:pPr>
      <w:r>
        <w:rPr>
          <w:rFonts w:hint="eastAsia"/>
        </w:rPr>
        <w:t>（1）考纲对应教学内容，全面考核中等职业学校园艺技术专业学生在生物显微镜使用、</w:t>
      </w:r>
      <w:r>
        <w:rPr>
          <w:rFonts w:hint="eastAsia"/>
          <w:lang w:val="en-US" w:eastAsia="zh-CN"/>
        </w:rPr>
        <w:t>蔬菜种子识别</w:t>
      </w:r>
      <w:r>
        <w:rPr>
          <w:rFonts w:hint="eastAsia"/>
        </w:rPr>
        <w:t>、园艺植物病害及害虫识别、园艺植物分类识别</w:t>
      </w:r>
      <w:r>
        <w:rPr>
          <w:rFonts w:hint="eastAsia"/>
          <w:lang w:eastAsia="zh-CN"/>
        </w:rPr>
        <w:t>、</w:t>
      </w:r>
      <w:r>
        <w:rPr>
          <w:rFonts w:hint="eastAsia"/>
        </w:rPr>
        <w:t>蔬菜种子播种前处理技术等方面能力，考试范围及难易程度合理，适用于选拔技术技能人才。</w:t>
      </w:r>
    </w:p>
    <w:p w14:paraId="13CE4396">
      <w:pPr>
        <w:ind w:firstLine="240" w:firstLineChars="100"/>
      </w:pPr>
      <w:r>
        <w:rPr>
          <w:rFonts w:hint="eastAsia"/>
        </w:rPr>
        <w:t>（2）教学实施建议，本次给定的202</w:t>
      </w:r>
      <w:r>
        <w:rPr>
          <w:rFonts w:hint="eastAsia"/>
          <w:lang w:val="en-US" w:eastAsia="zh-CN"/>
        </w:rPr>
        <w:t>5</w:t>
      </w:r>
      <w:r>
        <w:rPr>
          <w:rFonts w:hint="eastAsia"/>
        </w:rPr>
        <w:t>年考核项目是中等职业学校园艺技术专业教学内容的一部分，考核项目每年有一定变化；建议中等职业学校依据本专业教学标准，合理匹配理论与实践教学，全面提升学生专业能力及综合素养。</w:t>
      </w:r>
    </w:p>
    <w:p w14:paraId="433830C0">
      <w:pPr>
        <w:ind w:firstLine="480" w:firstLineChars="200"/>
      </w:pPr>
      <w:r>
        <w:rPr>
          <w:rFonts w:hint="eastAsia"/>
        </w:rPr>
        <w:t>4.技能考试过程</w:t>
      </w:r>
    </w:p>
    <w:p w14:paraId="1BACE8C9">
      <w:pPr>
        <w:ind w:firstLine="480" w:firstLineChars="200"/>
      </w:pPr>
      <w:r>
        <w:rPr>
          <w:rFonts w:hint="eastAsia"/>
        </w:rPr>
        <w:t>园艺技术专业技能考试采取实操方式进行，时间为</w:t>
      </w:r>
      <w:r>
        <w:t>30</w:t>
      </w:r>
      <w:r>
        <w:rPr>
          <w:rFonts w:hint="eastAsia"/>
        </w:rPr>
        <w:t>分钟；依据不同技能考核项目综合</w:t>
      </w:r>
      <w:r>
        <w:rPr>
          <w:rFonts w:hint="eastAsia"/>
          <w:lang w:val="en-US" w:eastAsia="zh-CN"/>
        </w:rPr>
        <w:t>考查</w:t>
      </w:r>
      <w:r>
        <w:rPr>
          <w:rFonts w:hint="eastAsia"/>
        </w:rPr>
        <w:t>学生合理使用、操作与检测仪器设备能力、分析与数据统计能力以及安全文明作业情况。</w:t>
      </w:r>
    </w:p>
    <w:p w14:paraId="31526B6D">
      <w:pPr>
        <w:ind w:firstLine="480" w:firstLineChars="200"/>
      </w:pPr>
      <w:r>
        <w:rPr>
          <w:rFonts w:hint="eastAsia"/>
        </w:rPr>
        <w:t>5.评价赋分形式</w:t>
      </w:r>
    </w:p>
    <w:p w14:paraId="3B595387">
      <w:pPr>
        <w:ind w:firstLine="480" w:firstLineChars="200"/>
      </w:pPr>
      <w:r>
        <w:rPr>
          <w:rFonts w:hint="eastAsia"/>
        </w:rPr>
        <w:t>园艺技术专业技能考</w:t>
      </w:r>
      <w:r>
        <w:rPr>
          <w:rFonts w:hint="eastAsia"/>
          <w:lang w:eastAsia="zh-CN"/>
        </w:rPr>
        <w:t>试</w:t>
      </w:r>
      <w:r>
        <w:rPr>
          <w:rFonts w:hint="eastAsia"/>
        </w:rPr>
        <w:t>为过程性评价，同时注重工作质量，权重合理。</w:t>
      </w:r>
    </w:p>
    <w:p w14:paraId="3AB3C35B">
      <w:pPr>
        <w:ind w:firstLine="480" w:firstLineChars="200"/>
      </w:pPr>
    </w:p>
    <w:p w14:paraId="35F32C38"/>
    <w:p w14:paraId="722FB8A9"/>
    <w:p w14:paraId="22835B1B"/>
    <w:sectPr>
      <w:footerReference r:id="rId3" w:type="default"/>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宋三简体">
    <w:altName w:val="宋体"/>
    <w:panose1 w:val="00000000000000000000"/>
    <w:charset w:val="86"/>
    <w:family w:val="auto"/>
    <w:pitch w:val="default"/>
    <w:sig w:usb0="00000000" w:usb1="0000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方正书宋简体">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FF4313">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797E60">
                          <w:pPr>
                            <w:pStyle w:val="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6C797E60">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jOWUzZWFlZGNjZDlhZjdjMjlmMmY5YWQ0ODc0M2YifQ=="/>
  </w:docVars>
  <w:rsids>
    <w:rsidRoot w:val="00172A27"/>
    <w:rsid w:val="000155BA"/>
    <w:rsid w:val="00035FEF"/>
    <w:rsid w:val="000472FA"/>
    <w:rsid w:val="00053CBF"/>
    <w:rsid w:val="000562A4"/>
    <w:rsid w:val="0009072F"/>
    <w:rsid w:val="00094C70"/>
    <w:rsid w:val="000A1DDD"/>
    <w:rsid w:val="000A2E07"/>
    <w:rsid w:val="000A6FC5"/>
    <w:rsid w:val="000B36BF"/>
    <w:rsid w:val="000C0A5E"/>
    <w:rsid w:val="000C2A72"/>
    <w:rsid w:val="00101721"/>
    <w:rsid w:val="00124916"/>
    <w:rsid w:val="00141CD7"/>
    <w:rsid w:val="00165E44"/>
    <w:rsid w:val="00172A27"/>
    <w:rsid w:val="00186BFE"/>
    <w:rsid w:val="001B7C5C"/>
    <w:rsid w:val="002041E8"/>
    <w:rsid w:val="0020652F"/>
    <w:rsid w:val="00216BAB"/>
    <w:rsid w:val="002345B0"/>
    <w:rsid w:val="00250FCB"/>
    <w:rsid w:val="00277519"/>
    <w:rsid w:val="002B74BE"/>
    <w:rsid w:val="002D4B06"/>
    <w:rsid w:val="002D5297"/>
    <w:rsid w:val="00316119"/>
    <w:rsid w:val="0031711B"/>
    <w:rsid w:val="00322F09"/>
    <w:rsid w:val="003368D0"/>
    <w:rsid w:val="00343880"/>
    <w:rsid w:val="00343C30"/>
    <w:rsid w:val="0035449A"/>
    <w:rsid w:val="00364D4D"/>
    <w:rsid w:val="00376EE4"/>
    <w:rsid w:val="0038552C"/>
    <w:rsid w:val="003C7EE5"/>
    <w:rsid w:val="00402751"/>
    <w:rsid w:val="00405EC3"/>
    <w:rsid w:val="00420A3B"/>
    <w:rsid w:val="00430A30"/>
    <w:rsid w:val="00432230"/>
    <w:rsid w:val="00437E4A"/>
    <w:rsid w:val="00476915"/>
    <w:rsid w:val="004775EA"/>
    <w:rsid w:val="004807DA"/>
    <w:rsid w:val="004A1477"/>
    <w:rsid w:val="004D340A"/>
    <w:rsid w:val="004E2AF8"/>
    <w:rsid w:val="004F2556"/>
    <w:rsid w:val="0054052C"/>
    <w:rsid w:val="005854CF"/>
    <w:rsid w:val="005867A1"/>
    <w:rsid w:val="00591D99"/>
    <w:rsid w:val="0059714E"/>
    <w:rsid w:val="005B09DF"/>
    <w:rsid w:val="005B456B"/>
    <w:rsid w:val="005C23FB"/>
    <w:rsid w:val="005D58C2"/>
    <w:rsid w:val="005E59F9"/>
    <w:rsid w:val="0061771E"/>
    <w:rsid w:val="00617E8C"/>
    <w:rsid w:val="006215B9"/>
    <w:rsid w:val="00640F9A"/>
    <w:rsid w:val="00646709"/>
    <w:rsid w:val="0065081B"/>
    <w:rsid w:val="006557C7"/>
    <w:rsid w:val="006A3FAC"/>
    <w:rsid w:val="006B0FE5"/>
    <w:rsid w:val="006D026A"/>
    <w:rsid w:val="006D081F"/>
    <w:rsid w:val="006F36BA"/>
    <w:rsid w:val="0071001C"/>
    <w:rsid w:val="00712346"/>
    <w:rsid w:val="00726AD4"/>
    <w:rsid w:val="0074638B"/>
    <w:rsid w:val="0075792F"/>
    <w:rsid w:val="00772C7E"/>
    <w:rsid w:val="0077595E"/>
    <w:rsid w:val="00797BF7"/>
    <w:rsid w:val="007B1E45"/>
    <w:rsid w:val="007C382F"/>
    <w:rsid w:val="007D6A40"/>
    <w:rsid w:val="007E18F5"/>
    <w:rsid w:val="008051A8"/>
    <w:rsid w:val="0082511A"/>
    <w:rsid w:val="00855F53"/>
    <w:rsid w:val="0085690F"/>
    <w:rsid w:val="0088558C"/>
    <w:rsid w:val="008926EC"/>
    <w:rsid w:val="008B449B"/>
    <w:rsid w:val="00927471"/>
    <w:rsid w:val="00930ECD"/>
    <w:rsid w:val="009406BA"/>
    <w:rsid w:val="00950C4A"/>
    <w:rsid w:val="00951065"/>
    <w:rsid w:val="00961935"/>
    <w:rsid w:val="00975DD8"/>
    <w:rsid w:val="009851C8"/>
    <w:rsid w:val="009A0D5E"/>
    <w:rsid w:val="009A62A4"/>
    <w:rsid w:val="009B4018"/>
    <w:rsid w:val="009D064C"/>
    <w:rsid w:val="009F6A58"/>
    <w:rsid w:val="00A013DB"/>
    <w:rsid w:val="00A16ED7"/>
    <w:rsid w:val="00A96B53"/>
    <w:rsid w:val="00AA6998"/>
    <w:rsid w:val="00B04EE2"/>
    <w:rsid w:val="00B208C8"/>
    <w:rsid w:val="00B253B2"/>
    <w:rsid w:val="00B337F9"/>
    <w:rsid w:val="00B34C3D"/>
    <w:rsid w:val="00B41AEB"/>
    <w:rsid w:val="00B44090"/>
    <w:rsid w:val="00BA13D6"/>
    <w:rsid w:val="00BD05CE"/>
    <w:rsid w:val="00C16C95"/>
    <w:rsid w:val="00C2762D"/>
    <w:rsid w:val="00C33089"/>
    <w:rsid w:val="00C44600"/>
    <w:rsid w:val="00C60838"/>
    <w:rsid w:val="00C637FA"/>
    <w:rsid w:val="00C92CF8"/>
    <w:rsid w:val="00CB462E"/>
    <w:rsid w:val="00CC1D03"/>
    <w:rsid w:val="00D31A75"/>
    <w:rsid w:val="00D36504"/>
    <w:rsid w:val="00D42D0C"/>
    <w:rsid w:val="00D81298"/>
    <w:rsid w:val="00D921A7"/>
    <w:rsid w:val="00DB25AB"/>
    <w:rsid w:val="00DB3138"/>
    <w:rsid w:val="00DC40B1"/>
    <w:rsid w:val="00DD68C8"/>
    <w:rsid w:val="00E238A9"/>
    <w:rsid w:val="00E324D9"/>
    <w:rsid w:val="00E52EB9"/>
    <w:rsid w:val="00E674EA"/>
    <w:rsid w:val="00E83F19"/>
    <w:rsid w:val="00E845C6"/>
    <w:rsid w:val="00E8474C"/>
    <w:rsid w:val="00EA4AF0"/>
    <w:rsid w:val="00EB1D44"/>
    <w:rsid w:val="00EB3CFE"/>
    <w:rsid w:val="00F54B14"/>
    <w:rsid w:val="00F661BF"/>
    <w:rsid w:val="00F85737"/>
    <w:rsid w:val="00FB66B4"/>
    <w:rsid w:val="00FC637E"/>
    <w:rsid w:val="00FE2B2A"/>
    <w:rsid w:val="00FF43CA"/>
    <w:rsid w:val="00FF4F1D"/>
    <w:rsid w:val="0168529C"/>
    <w:rsid w:val="018B3EC4"/>
    <w:rsid w:val="021550AD"/>
    <w:rsid w:val="02702D13"/>
    <w:rsid w:val="02C60B85"/>
    <w:rsid w:val="03174F3D"/>
    <w:rsid w:val="031C07A5"/>
    <w:rsid w:val="03451AAA"/>
    <w:rsid w:val="034862F0"/>
    <w:rsid w:val="03870314"/>
    <w:rsid w:val="038E0703"/>
    <w:rsid w:val="03A10CAA"/>
    <w:rsid w:val="04B34B43"/>
    <w:rsid w:val="04CD4FB2"/>
    <w:rsid w:val="04D51480"/>
    <w:rsid w:val="04E90B5B"/>
    <w:rsid w:val="052E63E0"/>
    <w:rsid w:val="05BB42A5"/>
    <w:rsid w:val="07025EC3"/>
    <w:rsid w:val="07E73E4A"/>
    <w:rsid w:val="07FB4E2D"/>
    <w:rsid w:val="08A059D4"/>
    <w:rsid w:val="099C43EE"/>
    <w:rsid w:val="0B8E7D02"/>
    <w:rsid w:val="0C1B25A0"/>
    <w:rsid w:val="0C605BA6"/>
    <w:rsid w:val="0C8876F4"/>
    <w:rsid w:val="0D643474"/>
    <w:rsid w:val="0D892EDB"/>
    <w:rsid w:val="0E1E7AC7"/>
    <w:rsid w:val="0E6F0323"/>
    <w:rsid w:val="0F166B87"/>
    <w:rsid w:val="0F493E93"/>
    <w:rsid w:val="0FC07A3D"/>
    <w:rsid w:val="110979A3"/>
    <w:rsid w:val="117B2B3A"/>
    <w:rsid w:val="12384497"/>
    <w:rsid w:val="126A1B24"/>
    <w:rsid w:val="12704669"/>
    <w:rsid w:val="12BC78AF"/>
    <w:rsid w:val="131D6D7D"/>
    <w:rsid w:val="13646C99"/>
    <w:rsid w:val="13AE5449"/>
    <w:rsid w:val="149C34F4"/>
    <w:rsid w:val="14B75004"/>
    <w:rsid w:val="14C667C2"/>
    <w:rsid w:val="14FB46BE"/>
    <w:rsid w:val="152249BA"/>
    <w:rsid w:val="152754B3"/>
    <w:rsid w:val="15966307"/>
    <w:rsid w:val="15A177F9"/>
    <w:rsid w:val="15D46CBD"/>
    <w:rsid w:val="169A1CB5"/>
    <w:rsid w:val="16C805D0"/>
    <w:rsid w:val="16E5231C"/>
    <w:rsid w:val="17B374D2"/>
    <w:rsid w:val="186510A6"/>
    <w:rsid w:val="18831AFF"/>
    <w:rsid w:val="188624F1"/>
    <w:rsid w:val="18A731BF"/>
    <w:rsid w:val="18B828C6"/>
    <w:rsid w:val="18E16BE0"/>
    <w:rsid w:val="19235F91"/>
    <w:rsid w:val="1A98475D"/>
    <w:rsid w:val="1B2129A5"/>
    <w:rsid w:val="1CCE25A8"/>
    <w:rsid w:val="1CD04682"/>
    <w:rsid w:val="1DCF195D"/>
    <w:rsid w:val="1E3D7AF5"/>
    <w:rsid w:val="1EC10726"/>
    <w:rsid w:val="1F993DA5"/>
    <w:rsid w:val="1FC3227C"/>
    <w:rsid w:val="1FC475AA"/>
    <w:rsid w:val="20250841"/>
    <w:rsid w:val="2081555A"/>
    <w:rsid w:val="21093CBF"/>
    <w:rsid w:val="210C6E17"/>
    <w:rsid w:val="211D3C0E"/>
    <w:rsid w:val="21CD73E2"/>
    <w:rsid w:val="22086FD9"/>
    <w:rsid w:val="22364F87"/>
    <w:rsid w:val="225E628C"/>
    <w:rsid w:val="22794E74"/>
    <w:rsid w:val="22934188"/>
    <w:rsid w:val="22E20C6B"/>
    <w:rsid w:val="23F7779D"/>
    <w:rsid w:val="241C01E1"/>
    <w:rsid w:val="24600C0F"/>
    <w:rsid w:val="24895207"/>
    <w:rsid w:val="24B2466D"/>
    <w:rsid w:val="24CA5663"/>
    <w:rsid w:val="25095901"/>
    <w:rsid w:val="25590D7E"/>
    <w:rsid w:val="25805E78"/>
    <w:rsid w:val="260D1A06"/>
    <w:rsid w:val="26266336"/>
    <w:rsid w:val="26396DF4"/>
    <w:rsid w:val="26A34BB6"/>
    <w:rsid w:val="27693709"/>
    <w:rsid w:val="27BB1A8B"/>
    <w:rsid w:val="27DF1DDE"/>
    <w:rsid w:val="283E5CC7"/>
    <w:rsid w:val="286C2198"/>
    <w:rsid w:val="28F33BD2"/>
    <w:rsid w:val="291644D1"/>
    <w:rsid w:val="292C2C40"/>
    <w:rsid w:val="293455C9"/>
    <w:rsid w:val="29CD724F"/>
    <w:rsid w:val="29D05CC2"/>
    <w:rsid w:val="29E05655"/>
    <w:rsid w:val="29F02177"/>
    <w:rsid w:val="2A1D4FE4"/>
    <w:rsid w:val="2A84050F"/>
    <w:rsid w:val="2AF35595"/>
    <w:rsid w:val="2B020358"/>
    <w:rsid w:val="2B627E31"/>
    <w:rsid w:val="2B830B12"/>
    <w:rsid w:val="2C3B13EC"/>
    <w:rsid w:val="2C424529"/>
    <w:rsid w:val="2CDA76DE"/>
    <w:rsid w:val="2CE86F98"/>
    <w:rsid w:val="2D03015C"/>
    <w:rsid w:val="2D71156A"/>
    <w:rsid w:val="2D946421"/>
    <w:rsid w:val="2DB33930"/>
    <w:rsid w:val="2DCD5A87"/>
    <w:rsid w:val="2F7549E3"/>
    <w:rsid w:val="2FA216AD"/>
    <w:rsid w:val="2FB72418"/>
    <w:rsid w:val="2FB7522E"/>
    <w:rsid w:val="30240B15"/>
    <w:rsid w:val="30E111C1"/>
    <w:rsid w:val="32144BB9"/>
    <w:rsid w:val="32573162"/>
    <w:rsid w:val="336E20A7"/>
    <w:rsid w:val="33A37FA3"/>
    <w:rsid w:val="33EA5BD2"/>
    <w:rsid w:val="33F173B6"/>
    <w:rsid w:val="35431A3E"/>
    <w:rsid w:val="35780FBB"/>
    <w:rsid w:val="35AE1D1F"/>
    <w:rsid w:val="3619454C"/>
    <w:rsid w:val="364F61C0"/>
    <w:rsid w:val="36941E25"/>
    <w:rsid w:val="36EC7C3E"/>
    <w:rsid w:val="370D03D4"/>
    <w:rsid w:val="383E1315"/>
    <w:rsid w:val="38755BD4"/>
    <w:rsid w:val="38AE3672"/>
    <w:rsid w:val="38C071F3"/>
    <w:rsid w:val="38FB7F54"/>
    <w:rsid w:val="39F41558"/>
    <w:rsid w:val="3A2B2AA0"/>
    <w:rsid w:val="3B021A53"/>
    <w:rsid w:val="3B0E03F8"/>
    <w:rsid w:val="3B583D69"/>
    <w:rsid w:val="3CF278A5"/>
    <w:rsid w:val="3D0F73A2"/>
    <w:rsid w:val="3D7021B3"/>
    <w:rsid w:val="3DF02037"/>
    <w:rsid w:val="3E9E560E"/>
    <w:rsid w:val="3EA407C7"/>
    <w:rsid w:val="3ECA1683"/>
    <w:rsid w:val="3F11495A"/>
    <w:rsid w:val="3F4D471E"/>
    <w:rsid w:val="3FB43F86"/>
    <w:rsid w:val="402D451B"/>
    <w:rsid w:val="407A7E48"/>
    <w:rsid w:val="41313092"/>
    <w:rsid w:val="4171348E"/>
    <w:rsid w:val="41A5138A"/>
    <w:rsid w:val="423A38FD"/>
    <w:rsid w:val="429C09DF"/>
    <w:rsid w:val="42D640CA"/>
    <w:rsid w:val="42DC6336"/>
    <w:rsid w:val="438A4CDB"/>
    <w:rsid w:val="43931DE2"/>
    <w:rsid w:val="43F81C45"/>
    <w:rsid w:val="44015A9E"/>
    <w:rsid w:val="448C7851"/>
    <w:rsid w:val="448E07FB"/>
    <w:rsid w:val="44FB6B58"/>
    <w:rsid w:val="451313F6"/>
    <w:rsid w:val="45201D13"/>
    <w:rsid w:val="45B14498"/>
    <w:rsid w:val="45B918A8"/>
    <w:rsid w:val="45E8049A"/>
    <w:rsid w:val="45EE77A4"/>
    <w:rsid w:val="460A70A5"/>
    <w:rsid w:val="47046B53"/>
    <w:rsid w:val="47176170"/>
    <w:rsid w:val="47281438"/>
    <w:rsid w:val="475E6263"/>
    <w:rsid w:val="47694DF5"/>
    <w:rsid w:val="479C7D67"/>
    <w:rsid w:val="47A85204"/>
    <w:rsid w:val="48897310"/>
    <w:rsid w:val="48A73C3A"/>
    <w:rsid w:val="48D32C81"/>
    <w:rsid w:val="49123997"/>
    <w:rsid w:val="4A047CB4"/>
    <w:rsid w:val="4AA743C5"/>
    <w:rsid w:val="4B666103"/>
    <w:rsid w:val="4B6E79FE"/>
    <w:rsid w:val="4CB52B24"/>
    <w:rsid w:val="4CFD02CC"/>
    <w:rsid w:val="4D0111D0"/>
    <w:rsid w:val="4DDC175D"/>
    <w:rsid w:val="4EDB63EB"/>
    <w:rsid w:val="4F18319B"/>
    <w:rsid w:val="4F52563A"/>
    <w:rsid w:val="4F604B42"/>
    <w:rsid w:val="4F672375"/>
    <w:rsid w:val="502B0C73"/>
    <w:rsid w:val="50463D38"/>
    <w:rsid w:val="50B16A74"/>
    <w:rsid w:val="513C37FC"/>
    <w:rsid w:val="515558F4"/>
    <w:rsid w:val="516E79EA"/>
    <w:rsid w:val="51F3660D"/>
    <w:rsid w:val="524B7D5A"/>
    <w:rsid w:val="52662470"/>
    <w:rsid w:val="53230361"/>
    <w:rsid w:val="53332A2E"/>
    <w:rsid w:val="535350EA"/>
    <w:rsid w:val="53AC0356"/>
    <w:rsid w:val="543A3559"/>
    <w:rsid w:val="550A5A33"/>
    <w:rsid w:val="55652881"/>
    <w:rsid w:val="55943798"/>
    <w:rsid w:val="55BD2CEE"/>
    <w:rsid w:val="55DD0C9B"/>
    <w:rsid w:val="55EE2EA8"/>
    <w:rsid w:val="566413BC"/>
    <w:rsid w:val="579F72CD"/>
    <w:rsid w:val="58331046"/>
    <w:rsid w:val="584E5E80"/>
    <w:rsid w:val="58A75590"/>
    <w:rsid w:val="58E862D4"/>
    <w:rsid w:val="593844B6"/>
    <w:rsid w:val="59F5460D"/>
    <w:rsid w:val="5A812E5A"/>
    <w:rsid w:val="5AC71F19"/>
    <w:rsid w:val="5B7C4AB2"/>
    <w:rsid w:val="5C2E164A"/>
    <w:rsid w:val="5C621EFA"/>
    <w:rsid w:val="5D096C59"/>
    <w:rsid w:val="5D0E2082"/>
    <w:rsid w:val="5D487342"/>
    <w:rsid w:val="5D814602"/>
    <w:rsid w:val="5DF474C9"/>
    <w:rsid w:val="5DF748C4"/>
    <w:rsid w:val="5E3D49CC"/>
    <w:rsid w:val="5E3D4F96"/>
    <w:rsid w:val="5E61601A"/>
    <w:rsid w:val="5EA54320"/>
    <w:rsid w:val="5EF84D97"/>
    <w:rsid w:val="5F9A19AB"/>
    <w:rsid w:val="60791F08"/>
    <w:rsid w:val="615F4C5A"/>
    <w:rsid w:val="6231453C"/>
    <w:rsid w:val="6280132C"/>
    <w:rsid w:val="62E33669"/>
    <w:rsid w:val="62E573E1"/>
    <w:rsid w:val="63201404"/>
    <w:rsid w:val="632411E5"/>
    <w:rsid w:val="637B1AF3"/>
    <w:rsid w:val="63E363DE"/>
    <w:rsid w:val="643D52A7"/>
    <w:rsid w:val="644E43F4"/>
    <w:rsid w:val="6484649B"/>
    <w:rsid w:val="64A3350D"/>
    <w:rsid w:val="65317013"/>
    <w:rsid w:val="65371D82"/>
    <w:rsid w:val="66393280"/>
    <w:rsid w:val="665E3732"/>
    <w:rsid w:val="67BD6B7E"/>
    <w:rsid w:val="680E1188"/>
    <w:rsid w:val="68784853"/>
    <w:rsid w:val="68BB130F"/>
    <w:rsid w:val="68E24AEE"/>
    <w:rsid w:val="68E27BD2"/>
    <w:rsid w:val="69425662"/>
    <w:rsid w:val="69642246"/>
    <w:rsid w:val="6991630A"/>
    <w:rsid w:val="69F85C4B"/>
    <w:rsid w:val="6A5512F0"/>
    <w:rsid w:val="6A6D7E16"/>
    <w:rsid w:val="6A8E035E"/>
    <w:rsid w:val="6A8F29DC"/>
    <w:rsid w:val="6B4F62C2"/>
    <w:rsid w:val="6B930322"/>
    <w:rsid w:val="6BB64010"/>
    <w:rsid w:val="6C1103E1"/>
    <w:rsid w:val="6C9854C4"/>
    <w:rsid w:val="6D147240"/>
    <w:rsid w:val="6DAF0D17"/>
    <w:rsid w:val="6DF766C9"/>
    <w:rsid w:val="6E8B3532"/>
    <w:rsid w:val="6ECA36D3"/>
    <w:rsid w:val="6FC75B6E"/>
    <w:rsid w:val="70082960"/>
    <w:rsid w:val="716F6B00"/>
    <w:rsid w:val="717C3606"/>
    <w:rsid w:val="71D40D4C"/>
    <w:rsid w:val="72624D05"/>
    <w:rsid w:val="72B133B9"/>
    <w:rsid w:val="72C76B03"/>
    <w:rsid w:val="73463ECB"/>
    <w:rsid w:val="738642C8"/>
    <w:rsid w:val="73DC5FAF"/>
    <w:rsid w:val="73E93056"/>
    <w:rsid w:val="73ED4347"/>
    <w:rsid w:val="743326A2"/>
    <w:rsid w:val="757E5B9F"/>
    <w:rsid w:val="763E17F7"/>
    <w:rsid w:val="76F75EBB"/>
    <w:rsid w:val="772A02AD"/>
    <w:rsid w:val="775546DD"/>
    <w:rsid w:val="77850E64"/>
    <w:rsid w:val="77A86F03"/>
    <w:rsid w:val="78454752"/>
    <w:rsid w:val="78EC1071"/>
    <w:rsid w:val="790C526F"/>
    <w:rsid w:val="791906D8"/>
    <w:rsid w:val="791D56CF"/>
    <w:rsid w:val="79E1494E"/>
    <w:rsid w:val="79FE213B"/>
    <w:rsid w:val="7AAA11E4"/>
    <w:rsid w:val="7ACF47A6"/>
    <w:rsid w:val="7B686F6C"/>
    <w:rsid w:val="7B887941"/>
    <w:rsid w:val="7BAE260E"/>
    <w:rsid w:val="7BB265A2"/>
    <w:rsid w:val="7C1A7CA3"/>
    <w:rsid w:val="7CEF7382"/>
    <w:rsid w:val="7D382AD7"/>
    <w:rsid w:val="7DE755B6"/>
    <w:rsid w:val="7E5919C5"/>
    <w:rsid w:val="7EB444B6"/>
    <w:rsid w:val="7ED370B5"/>
    <w:rsid w:val="7FC74772"/>
    <w:rsid w:val="7FF05B0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before="300" w:after="300" w:line="576" w:lineRule="auto"/>
      <w:jc w:val="center"/>
      <w:outlineLvl w:val="0"/>
    </w:pPr>
    <w:rPr>
      <w:rFonts w:eastAsia="黑体"/>
      <w:b/>
      <w:kern w:val="44"/>
      <w:sz w:val="28"/>
    </w:rPr>
  </w:style>
  <w:style w:type="paragraph" w:styleId="3">
    <w:name w:val="heading 2"/>
    <w:basedOn w:val="1"/>
    <w:next w:val="1"/>
    <w:link w:val="14"/>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spacing w:line="200" w:lineRule="exact"/>
      <w:jc w:val="center"/>
    </w:pPr>
    <w:rPr>
      <w:rFonts w:ascii="方正宋三简体" w:hAnsi="宋体" w:eastAsia="方正宋三简体"/>
      <w:sz w:val="18"/>
    </w:rPr>
  </w:style>
  <w:style w:type="paragraph" w:styleId="5">
    <w:name w:val="Balloon Text"/>
    <w:basedOn w:val="1"/>
    <w:link w:val="16"/>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Autospacing="1" w:afterAutospacing="1"/>
      <w:jc w:val="left"/>
    </w:pPr>
    <w:rPr>
      <w:rFonts w:cs="Times New Roman"/>
      <w:kern w:val="0"/>
    </w:rPr>
  </w:style>
  <w:style w:type="paragraph" w:styleId="9">
    <w:name w:val="Title"/>
    <w:basedOn w:val="1"/>
    <w:next w:val="1"/>
    <w:link w:val="15"/>
    <w:qFormat/>
    <w:uiPriority w:val="0"/>
    <w:pPr>
      <w:spacing w:before="240" w:after="60"/>
      <w:jc w:val="center"/>
      <w:outlineLvl w:val="0"/>
    </w:pPr>
    <w:rPr>
      <w:rFonts w:asciiTheme="majorHAnsi" w:hAnsiTheme="majorHAnsi" w:eastAsiaTheme="majorEastAsia" w:cstheme="majorBidi"/>
      <w:b/>
      <w:bCs/>
      <w:sz w:val="32"/>
      <w:szCs w:val="32"/>
    </w:rPr>
  </w:style>
  <w:style w:type="paragraph" w:styleId="10">
    <w:name w:val="Body Text First Indent"/>
    <w:basedOn w:val="4"/>
    <w:qFormat/>
    <w:uiPriority w:val="0"/>
    <w:pPr>
      <w:spacing w:line="240" w:lineRule="auto"/>
      <w:ind w:firstLine="420" w:firstLineChars="100"/>
      <w:jc w:val="both"/>
    </w:pPr>
    <w:rPr>
      <w:b/>
      <w:bCs/>
      <w:sz w:val="32"/>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basedOn w:val="13"/>
    <w:link w:val="3"/>
    <w:qFormat/>
    <w:uiPriority w:val="0"/>
    <w:rPr>
      <w:rFonts w:ascii="宋体" w:hAnsi="宋体"/>
      <w:b/>
      <w:bCs/>
      <w:sz w:val="24"/>
      <w:szCs w:val="36"/>
    </w:rPr>
  </w:style>
  <w:style w:type="character" w:customStyle="1" w:styleId="15">
    <w:name w:val="标题 Char"/>
    <w:basedOn w:val="13"/>
    <w:link w:val="9"/>
    <w:qFormat/>
    <w:uiPriority w:val="0"/>
    <w:rPr>
      <w:rFonts w:asciiTheme="majorHAnsi" w:hAnsiTheme="majorHAnsi" w:eastAsiaTheme="majorEastAsia" w:cstheme="majorBidi"/>
      <w:b/>
      <w:bCs/>
      <w:kern w:val="2"/>
      <w:sz w:val="32"/>
      <w:szCs w:val="32"/>
    </w:rPr>
  </w:style>
  <w:style w:type="character" w:customStyle="1" w:styleId="16">
    <w:name w:val="批注框文本 Char"/>
    <w:basedOn w:val="13"/>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3141</Words>
  <Characters>3192</Characters>
  <Lines>43</Lines>
  <Paragraphs>12</Paragraphs>
  <TotalTime>10</TotalTime>
  <ScaleCrop>false</ScaleCrop>
  <LinksUpToDate>false</LinksUpToDate>
  <CharactersWithSpaces>3210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cp:lastPrinted>2024-12-20T02:59:00Z</cp:lastPrinted>
  <dcterms:modified xsi:type="dcterms:W3CDTF">2024-12-30T23:55:30Z</dcterms:modified>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5D21B95ED9A44948BBA3FCFA01A472E5_13</vt:lpwstr>
  </property>
  <property fmtid="{D5CDD505-2E9C-101B-9397-08002B2CF9AE}" pid="4" name="KSOTemplateDocerSaveRecord">
    <vt:lpwstr>eyJoZGlkIjoiYTBkZGU3ZjAxOTVkM2VmZDljNDY0MTI5MDhhZTk2ZTIiLCJ1c2VySWQiOiI1MzExOTIwNDIifQ==</vt:lpwstr>
  </property>
</Properties>
</file>