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F5465">
      <w:pPr>
        <w:ind w:firstLine="560"/>
        <w:jc w:val="center"/>
        <w:rPr>
          <w:rFonts w:hint="eastAsia" w:ascii="黑体" w:hAnsi="黑体" w:eastAsia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2025年黑龙江省职业教育春季高考</w:t>
      </w:r>
    </w:p>
    <w:p w14:paraId="6FA9E05B">
      <w:pPr>
        <w:ind w:firstLine="560"/>
        <w:jc w:val="center"/>
        <w:rPr>
          <w:rFonts w:hint="eastAsia" w:ascii="黑体" w:hAnsi="黑体" w:eastAsia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植物保护专业技能操作考试大纲</w:t>
      </w:r>
    </w:p>
    <w:p w14:paraId="6008A83E">
      <w:pPr>
        <w:pStyle w:val="3"/>
        <w:ind w:firstLine="482"/>
        <w:rPr>
          <w:rFonts w:hint="default"/>
        </w:rPr>
      </w:pPr>
      <w:r>
        <w:t>一、考试依据</w:t>
      </w:r>
    </w:p>
    <w:p w14:paraId="753C0038">
      <w:pPr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1.参照中华人民共和国教育部职业教育与成人教育司颁布的《中等职业学校专业教学标准（试行）》，2017 年 8 月 26 日发布。</w:t>
      </w:r>
    </w:p>
    <w:p w14:paraId="77B8FEDB">
      <w:pPr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2.参照中华人民共和国教育部职业教育与成人教育司颁布的2021年修订职业教育专业目录（2021年修订）；职业教育专业简介（2022年修订）。</w:t>
      </w:r>
    </w:p>
    <w:p w14:paraId="42E20B02">
      <w:pPr>
        <w:ind w:firstLine="480"/>
        <w:rPr>
          <w:szCs w:val="32"/>
        </w:rPr>
      </w:pPr>
      <w:r>
        <w:rPr>
          <w:rFonts w:hint="eastAsia"/>
          <w:szCs w:val="32"/>
        </w:rPr>
        <w:t>3.参照农作物植保工技能等级证书各模块初级认证标准。</w:t>
      </w:r>
    </w:p>
    <w:p w14:paraId="672D49A6">
      <w:pPr>
        <w:pStyle w:val="3"/>
        <w:ind w:firstLine="482"/>
        <w:rPr>
          <w:rFonts w:hint="default"/>
        </w:rPr>
      </w:pPr>
      <w:r>
        <w:t>二、考试方式</w:t>
      </w:r>
    </w:p>
    <w:p w14:paraId="0A650D43">
      <w:pPr>
        <w:ind w:firstLine="480"/>
        <w:rPr>
          <w:szCs w:val="32"/>
        </w:rPr>
      </w:pPr>
      <w:r>
        <w:rPr>
          <w:rFonts w:hint="eastAsia"/>
        </w:rPr>
        <w:t>202</w:t>
      </w:r>
      <w:r>
        <w:t>5</w:t>
      </w:r>
      <w:r>
        <w:rPr>
          <w:rFonts w:hint="eastAsia"/>
        </w:rPr>
        <w:t>年黑龙江省职业教育春季高考</w:t>
      </w:r>
      <w:r>
        <w:rPr>
          <w:rFonts w:hint="eastAsia"/>
          <w:szCs w:val="32"/>
        </w:rPr>
        <w:t>植物保护专业技能考试为实际操作考试方式，考试总分为200分，实操项目随机抽取，考试时间为3</w:t>
      </w:r>
      <w:r>
        <w:rPr>
          <w:szCs w:val="32"/>
        </w:rPr>
        <w:t>0</w:t>
      </w:r>
      <w:r>
        <w:rPr>
          <w:rFonts w:hint="eastAsia"/>
          <w:szCs w:val="32"/>
        </w:rPr>
        <w:t>分钟。</w:t>
      </w:r>
    </w:p>
    <w:p w14:paraId="7E2B6D68">
      <w:pPr>
        <w:pStyle w:val="3"/>
        <w:tabs>
          <w:tab w:val="center" w:pos="4754"/>
        </w:tabs>
        <w:ind w:firstLine="482"/>
        <w:rPr>
          <w:rFonts w:hint="default"/>
        </w:rPr>
      </w:pPr>
      <w:r>
        <w:t>三、考试范围和要求</w:t>
      </w:r>
      <w:r>
        <w:rPr>
          <w:rFonts w:hint="default"/>
        </w:rPr>
        <w:tab/>
      </w:r>
    </w:p>
    <w:p w14:paraId="3B510265">
      <w:pPr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识记、理解、综合运用各个层面，充分融合专业知识和技能操作的职业技能要素，将专业知识融入技能操作考试内容。</w:t>
      </w:r>
    </w:p>
    <w:p w14:paraId="143D0D9C">
      <w:pPr>
        <w:pStyle w:val="3"/>
        <w:ind w:firstLine="482"/>
        <w:rPr>
          <w:rFonts w:hint="default" w:cs="宋体"/>
        </w:rPr>
      </w:pPr>
      <w:r>
        <w:rPr>
          <w:rFonts w:cs="宋体"/>
        </w:rPr>
        <w:t xml:space="preserve">技能模块1  </w:t>
      </w:r>
      <w:r>
        <w:t>生物显微镜使用</w:t>
      </w:r>
    </w:p>
    <w:p w14:paraId="35B64349">
      <w:pPr>
        <w:ind w:firstLine="480"/>
        <w:rPr>
          <w:szCs w:val="32"/>
        </w:rPr>
      </w:pPr>
      <w:r>
        <w:rPr>
          <w:rFonts w:hint="eastAsia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/>
          <w:szCs w:val="32"/>
        </w:rPr>
        <w:t>知识与技能</w:t>
      </w:r>
    </w:p>
    <w:p w14:paraId="1D28BBFB">
      <w:pPr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rFonts w:hint="eastAsia"/>
        </w:rPr>
        <w:t>熟悉生物显微镜的结构和各个部件的功能，并能正确进行调节光源、镜头转换等技能操作</w:t>
      </w:r>
      <w:r>
        <w:rPr>
          <w:rFonts w:hint="eastAsia"/>
          <w:szCs w:val="32"/>
        </w:rPr>
        <w:t>。</w:t>
      </w:r>
    </w:p>
    <w:p w14:paraId="6DFF4679">
      <w:pPr>
        <w:ind w:firstLine="480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rFonts w:hint="eastAsia"/>
        </w:rPr>
        <w:t>根据实验要求，正确制备生物样品，如组织切片、细胞涂片等，保证样品的制作质量及观察质量。</w:t>
      </w:r>
    </w:p>
    <w:p w14:paraId="00587763">
      <w:pPr>
        <w:ind w:firstLine="480"/>
        <w:rPr>
          <w:szCs w:val="32"/>
        </w:rPr>
      </w:pPr>
      <w:r>
        <w:rPr>
          <w:rFonts w:hint="eastAsia"/>
          <w:szCs w:val="32"/>
        </w:rPr>
        <w:t>（3）</w:t>
      </w:r>
      <w:r>
        <w:rPr>
          <w:rFonts w:hint="eastAsia"/>
        </w:rPr>
        <w:t>根据观察需求，选择合适的物镜，并通过调节焦距、镜筒位置等操作，使样品能够清晰地显现在视野里</w:t>
      </w:r>
      <w:r>
        <w:rPr>
          <w:rFonts w:hint="eastAsia"/>
          <w:szCs w:val="32"/>
        </w:rPr>
        <w:t xml:space="preserve">。 </w:t>
      </w:r>
    </w:p>
    <w:p w14:paraId="79872D84">
      <w:pPr>
        <w:ind w:firstLine="480"/>
        <w:rPr>
          <w:szCs w:val="32"/>
        </w:rPr>
      </w:pPr>
      <w:r>
        <w:rPr>
          <w:rFonts w:hint="eastAsia"/>
          <w:szCs w:val="32"/>
        </w:rPr>
        <w:t>（4）</w:t>
      </w:r>
      <w:r>
        <w:rPr>
          <w:rFonts w:hint="eastAsia"/>
        </w:rPr>
        <w:t>通过调节光源强度、对焦、光圈等，优化观察条件，使样品能够以最佳的清晰度和对比度显示</w:t>
      </w:r>
      <w:r>
        <w:rPr>
          <w:rFonts w:hint="eastAsia"/>
          <w:szCs w:val="32"/>
        </w:rPr>
        <w:t xml:space="preserve">。 </w:t>
      </w:r>
    </w:p>
    <w:p w14:paraId="7FE22CDB">
      <w:pPr>
        <w:ind w:firstLine="480"/>
        <w:rPr>
          <w:szCs w:val="32"/>
        </w:rPr>
      </w:pPr>
      <w:r>
        <w:rPr>
          <w:rFonts w:hint="eastAsia"/>
          <w:szCs w:val="32"/>
        </w:rPr>
        <w:t>（5）</w:t>
      </w:r>
      <w:r>
        <w:rPr>
          <w:rFonts w:hint="eastAsia"/>
        </w:rPr>
        <w:t>使用显微镜配套的测量仪器，如目镜刻度盘、物镜刻度盘等，对所观察到的结构进行测量，并能准确记录观察结果和数据</w:t>
      </w:r>
      <w:r>
        <w:rPr>
          <w:rFonts w:hint="eastAsia"/>
          <w:szCs w:val="32"/>
        </w:rPr>
        <w:t>。</w:t>
      </w:r>
    </w:p>
    <w:p w14:paraId="275B8305">
      <w:pPr>
        <w:ind w:firstLine="480"/>
        <w:rPr>
          <w:szCs w:val="32"/>
        </w:rPr>
      </w:pPr>
      <w:r>
        <w:rPr>
          <w:rFonts w:hint="eastAsia"/>
          <w:szCs w:val="32"/>
        </w:rPr>
        <w:t>（6）</w:t>
      </w:r>
      <w:r>
        <w:rPr>
          <w:rFonts w:hint="eastAsia"/>
        </w:rPr>
        <w:t>了解生物显微镜的日常维护方法，包括清洁镜头、调节器等，并能按照正确的步骤进行维护和保养</w:t>
      </w:r>
      <w:r>
        <w:rPr>
          <w:rFonts w:hint="eastAsia"/>
          <w:szCs w:val="32"/>
        </w:rPr>
        <w:t xml:space="preserve">。 </w:t>
      </w:r>
    </w:p>
    <w:p w14:paraId="1CDC2642">
      <w:pPr>
        <w:ind w:firstLine="480"/>
        <w:rPr>
          <w:szCs w:val="32"/>
        </w:rPr>
      </w:pPr>
      <w:r>
        <w:rPr>
          <w:rFonts w:hint="eastAsia"/>
          <w:szCs w:val="32"/>
        </w:rPr>
        <w:t>（</w:t>
      </w:r>
      <w:r>
        <w:rPr>
          <w:szCs w:val="32"/>
        </w:rPr>
        <w:t>7</w:t>
      </w:r>
      <w:r>
        <w:rPr>
          <w:rFonts w:hint="eastAsia"/>
          <w:szCs w:val="32"/>
        </w:rPr>
        <w:t>）</w:t>
      </w:r>
      <w:r>
        <w:rPr>
          <w:rFonts w:hint="eastAsia"/>
        </w:rPr>
        <w:t>在操作过程中，注意安全规范，如避免镜头损坏、观察时保持适当的距离和角度，不随意调整或拆卸仪器等。</w:t>
      </w:r>
    </w:p>
    <w:p w14:paraId="249CACA8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06A5ECCB">
      <w:pPr>
        <w:ind w:firstLine="480"/>
        <w:rPr>
          <w:szCs w:val="32"/>
        </w:rPr>
      </w:pPr>
      <w:r>
        <w:rPr>
          <w:rFonts w:hint="eastAsia"/>
          <w:szCs w:val="32"/>
        </w:rPr>
        <w:t>（1）显微镜。</w:t>
      </w:r>
    </w:p>
    <w:p w14:paraId="5D7C8015">
      <w:pPr>
        <w:ind w:firstLine="480"/>
        <w:rPr>
          <w:szCs w:val="32"/>
        </w:rPr>
      </w:pPr>
      <w:r>
        <w:rPr>
          <w:rFonts w:hint="eastAsia"/>
          <w:szCs w:val="32"/>
        </w:rPr>
        <w:t>（2）玻片：菊叶表皮装片、洋葱根尖纵切、芹菜叶柄横切、大丽花叶柄横切、南瓜茎纵切、洋葱叶表皮装片、植物根横切、银杏幼果横切等。</w:t>
      </w:r>
    </w:p>
    <w:p w14:paraId="31DD951D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205D040D">
      <w:pPr>
        <w:ind w:firstLine="480"/>
        <w:rPr>
          <w:szCs w:val="32"/>
        </w:rPr>
      </w:pPr>
      <w:r>
        <w:rPr>
          <w:rFonts w:hint="eastAsia"/>
          <w:szCs w:val="32"/>
        </w:rPr>
        <w:t>（1）操作生物显微镜需要遵守实验室卫生安全规定，不得随意丢弃有害物质，如使用过的载玻片和吸管等。</w:t>
      </w:r>
    </w:p>
    <w:p w14:paraId="3960B787">
      <w:pPr>
        <w:ind w:firstLine="480"/>
        <w:rPr>
          <w:szCs w:val="32"/>
        </w:rPr>
      </w:pPr>
      <w:r>
        <w:rPr>
          <w:rFonts w:hint="eastAsia"/>
          <w:szCs w:val="32"/>
        </w:rPr>
        <w:t>（2）考生需要在考试前熟悉生物显微镜的各项操作。</w:t>
      </w:r>
    </w:p>
    <w:p w14:paraId="5A4F306A">
      <w:pPr>
        <w:ind w:firstLine="480"/>
        <w:rPr>
          <w:szCs w:val="32"/>
        </w:rPr>
      </w:pPr>
      <w:r>
        <w:rPr>
          <w:rFonts w:hint="eastAsia"/>
          <w:szCs w:val="32"/>
        </w:rPr>
        <w:t>（3）观察样本时，需要仔细观察目前是否清晰，若出现不清晰或变形情况，需要及时调整物镜、横移夹及焦距等，以确保清晰可见。</w:t>
      </w:r>
    </w:p>
    <w:p w14:paraId="14ABCB30">
      <w:pPr>
        <w:ind w:firstLine="480"/>
        <w:rPr>
          <w:szCs w:val="32"/>
        </w:rPr>
      </w:pPr>
      <w:r>
        <w:rPr>
          <w:rFonts w:hint="eastAsia"/>
          <w:szCs w:val="32"/>
        </w:rPr>
        <w:t>（4）根据题目要求，选择合适的物镜放大倍率。</w:t>
      </w:r>
    </w:p>
    <w:p w14:paraId="6B518224">
      <w:pPr>
        <w:ind w:firstLine="480"/>
        <w:rPr>
          <w:szCs w:val="32"/>
        </w:rPr>
      </w:pPr>
      <w:r>
        <w:rPr>
          <w:rFonts w:hint="eastAsia"/>
          <w:szCs w:val="32"/>
        </w:rPr>
        <w:t>（5）考生不得在试卷上作任何标记。</w:t>
      </w:r>
    </w:p>
    <w:p w14:paraId="1C8F298A">
      <w:pPr>
        <w:ind w:firstLine="480"/>
        <w:rPr>
          <w:szCs w:val="32"/>
        </w:rPr>
      </w:pPr>
      <w:r>
        <w:rPr>
          <w:rFonts w:hint="eastAsia"/>
          <w:szCs w:val="32"/>
        </w:rPr>
        <w:t>（6）观察考核过程中，考核材料因考生原因受到破损等不与重新发放。</w:t>
      </w:r>
    </w:p>
    <w:p w14:paraId="5E537B0D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（7）考生使用后，需要仔细清洁生物显微镜设备。  </w:t>
      </w:r>
    </w:p>
    <w:p w14:paraId="0D3BE2A0">
      <w:pPr>
        <w:pStyle w:val="3"/>
        <w:ind w:firstLine="482"/>
        <w:rPr>
          <w:rFonts w:hint="default"/>
        </w:rPr>
      </w:pPr>
      <w:r>
        <w:t>技能模块2  作物病害识别</w:t>
      </w:r>
    </w:p>
    <w:p w14:paraId="4780ACCB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41E367ED">
      <w:pPr>
        <w:ind w:firstLine="480"/>
        <w:rPr>
          <w:szCs w:val="32"/>
        </w:rPr>
      </w:pPr>
      <w:r>
        <w:rPr>
          <w:rFonts w:hint="eastAsia"/>
          <w:szCs w:val="32"/>
        </w:rPr>
        <w:t>（1）能正确的选用观察工具。</w:t>
      </w:r>
    </w:p>
    <w:p w14:paraId="3D264AE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（2）能正确的识别病害类型是为侵染性病害还是生理性病害。 </w:t>
      </w:r>
    </w:p>
    <w:p w14:paraId="2E1DE5E3">
      <w:pPr>
        <w:ind w:firstLine="480"/>
        <w:rPr>
          <w:szCs w:val="32"/>
        </w:rPr>
      </w:pPr>
      <w:r>
        <w:rPr>
          <w:rFonts w:hint="eastAsia"/>
          <w:szCs w:val="32"/>
        </w:rPr>
        <w:t>（3）能正确的识别病害的症状和病症类型。</w:t>
      </w:r>
    </w:p>
    <w:p w14:paraId="43B406EE">
      <w:pPr>
        <w:ind w:firstLine="480"/>
        <w:rPr>
          <w:szCs w:val="32"/>
        </w:rPr>
      </w:pPr>
      <w:r>
        <w:rPr>
          <w:rFonts w:hint="eastAsia"/>
          <w:szCs w:val="32"/>
        </w:rPr>
        <w:t>（4）能正确答出</w:t>
      </w:r>
      <w:r>
        <w:rPr>
          <w:rFonts w:hint="eastAsia"/>
          <w:szCs w:val="21"/>
        </w:rPr>
        <w:t>病害的名称</w:t>
      </w:r>
      <w:r>
        <w:rPr>
          <w:rFonts w:hint="eastAsia"/>
          <w:szCs w:val="32"/>
        </w:rPr>
        <w:t xml:space="preserve">。 </w:t>
      </w:r>
    </w:p>
    <w:p w14:paraId="48452031">
      <w:pPr>
        <w:ind w:firstLine="480"/>
        <w:rPr>
          <w:szCs w:val="32"/>
        </w:rPr>
      </w:pPr>
      <w:r>
        <w:rPr>
          <w:rFonts w:hint="eastAsia"/>
          <w:szCs w:val="32"/>
        </w:rPr>
        <w:t>（5）能</w:t>
      </w:r>
      <w:r>
        <w:rPr>
          <w:szCs w:val="21"/>
        </w:rPr>
        <w:t>确定</w:t>
      </w:r>
      <w:r>
        <w:rPr>
          <w:rFonts w:hint="eastAsia"/>
          <w:szCs w:val="21"/>
        </w:rPr>
        <w:t>病害</w:t>
      </w:r>
      <w:r>
        <w:rPr>
          <w:szCs w:val="21"/>
        </w:rPr>
        <w:t>防治方法</w:t>
      </w:r>
      <w:r>
        <w:rPr>
          <w:rFonts w:hint="eastAsia"/>
          <w:szCs w:val="32"/>
        </w:rPr>
        <w:t>。</w:t>
      </w:r>
    </w:p>
    <w:p w14:paraId="394F0E42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5EBBA805">
      <w:pPr>
        <w:ind w:firstLine="480"/>
        <w:rPr>
          <w:szCs w:val="32"/>
        </w:rPr>
      </w:pPr>
      <w:r>
        <w:rPr>
          <w:rFonts w:hint="eastAsia"/>
          <w:szCs w:val="32"/>
        </w:rPr>
        <w:t>（1）显微镜、放大镜、镊子、载玻片、盖玻片、蒸馏水、滴管、挑针。</w:t>
      </w:r>
    </w:p>
    <w:p w14:paraId="5987F861">
      <w:pPr>
        <w:ind w:firstLine="480"/>
        <w:rPr>
          <w:szCs w:val="32"/>
        </w:rPr>
      </w:pPr>
      <w:r>
        <w:rPr>
          <w:rFonts w:hint="eastAsia"/>
          <w:szCs w:val="32"/>
        </w:rPr>
        <w:t>（2）各种植物病害症状类型的病害标本（玉米大小斑病、玉米丝黑穗病、大豆霜霉病、大豆花叶病、大豆灰斑病、大豆细菌性斑点病、小麦赤霉病、小麦锈病、小麦白粉病、水稻稻瘟病、水稻细菌性条斑病、水稻白叶枯病、马铃薯晚疫病等）、新鲜标本、挂图。</w:t>
      </w:r>
    </w:p>
    <w:p w14:paraId="689AA8B1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4CB4BEDE">
      <w:pPr>
        <w:ind w:firstLine="48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1</w:t>
      </w:r>
      <w:r>
        <w:rPr>
          <w:szCs w:val="32"/>
        </w:rPr>
        <w:t>）</w:t>
      </w:r>
      <w:r>
        <w:rPr>
          <w:rFonts w:hint="eastAsia"/>
          <w:szCs w:val="32"/>
        </w:rPr>
        <w:t>考生需要仔细观察植物叶片、茎干、花、果实等部位的变化，根据症状和发病具体情况进行判断。</w:t>
      </w:r>
    </w:p>
    <w:p w14:paraId="5F6F1115">
      <w:pPr>
        <w:ind w:firstLine="48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2</w:t>
      </w:r>
      <w:r>
        <w:rPr>
          <w:szCs w:val="32"/>
        </w:rPr>
        <w:t>）</w:t>
      </w:r>
      <w:r>
        <w:rPr>
          <w:rFonts w:hint="eastAsia"/>
          <w:szCs w:val="32"/>
        </w:rPr>
        <w:t>考生需掌握常见的植物病害的特征及其相应的防治措施。</w:t>
      </w:r>
    </w:p>
    <w:p w14:paraId="66EFB51E">
      <w:pPr>
        <w:ind w:firstLine="48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3</w:t>
      </w:r>
      <w:r>
        <w:rPr>
          <w:szCs w:val="32"/>
        </w:rPr>
        <w:t>）</w:t>
      </w:r>
      <w:r>
        <w:rPr>
          <w:rFonts w:hint="eastAsia"/>
          <w:szCs w:val="32"/>
        </w:rPr>
        <w:t>考生应熟悉常用的病原体和生物学特性，能够进行必要的病原鉴定。</w:t>
      </w:r>
    </w:p>
    <w:p w14:paraId="3E6AB838">
      <w:pPr>
        <w:ind w:firstLine="48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4</w:t>
      </w:r>
      <w:r>
        <w:rPr>
          <w:szCs w:val="32"/>
        </w:rPr>
        <w:t>）</w:t>
      </w:r>
      <w:r>
        <w:rPr>
          <w:rFonts w:hint="eastAsia"/>
          <w:szCs w:val="32"/>
        </w:rPr>
        <w:t>考生需要详细记录实验所用参数、检测结果和参考资料等，确保实验记录的准确性和完整性。</w:t>
      </w:r>
    </w:p>
    <w:p w14:paraId="44F1A139">
      <w:pPr>
        <w:ind w:firstLine="480"/>
        <w:rPr>
          <w:szCs w:val="32"/>
        </w:rPr>
      </w:pPr>
      <w:r>
        <w:rPr>
          <w:rFonts w:hint="eastAsia"/>
          <w:szCs w:val="32"/>
        </w:rPr>
        <w:t>（5）考核过程中，考核材料因考生原因受到破损等不与重新发放。</w:t>
      </w:r>
    </w:p>
    <w:p w14:paraId="01C54B94">
      <w:pPr>
        <w:pStyle w:val="3"/>
        <w:ind w:firstLine="482"/>
        <w:rPr>
          <w:rFonts w:hint="default"/>
        </w:rPr>
      </w:pPr>
      <w:r>
        <w:t xml:space="preserve">技能模块3 </w:t>
      </w:r>
      <w:r>
        <w:rPr>
          <w:rFonts w:hint="eastAsia"/>
          <w:lang w:val="en-US" w:eastAsia="zh-CN"/>
        </w:rPr>
        <w:t xml:space="preserve"> </w:t>
      </w:r>
      <w:r>
        <w:t>作物害虫识别</w:t>
      </w:r>
    </w:p>
    <w:p w14:paraId="0928526D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7AFE8B63">
      <w:pPr>
        <w:ind w:firstLine="480"/>
        <w:rPr>
          <w:szCs w:val="32"/>
        </w:rPr>
      </w:pPr>
      <w:r>
        <w:rPr>
          <w:rFonts w:hint="eastAsia"/>
          <w:szCs w:val="32"/>
        </w:rPr>
        <w:t>（1）能正确的选用观察工具。</w:t>
      </w:r>
    </w:p>
    <w:p w14:paraId="1A52B846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（2）能正确的识别生物是否为昆虫（或害虫）。 </w:t>
      </w:r>
    </w:p>
    <w:p w14:paraId="091E17E5">
      <w:pPr>
        <w:ind w:firstLine="480"/>
        <w:rPr>
          <w:szCs w:val="32"/>
        </w:rPr>
      </w:pPr>
      <w:r>
        <w:rPr>
          <w:rFonts w:hint="eastAsia"/>
          <w:szCs w:val="32"/>
        </w:rPr>
        <w:t>（3）能正确的识别害虫外部形态特征，包括的头部、胸部、腹部特征。</w:t>
      </w:r>
    </w:p>
    <w:p w14:paraId="1E12FBBA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（4）能正确答出害虫目名、科名、种名。 </w:t>
      </w:r>
    </w:p>
    <w:p w14:paraId="16FB43E8">
      <w:pPr>
        <w:ind w:firstLine="480"/>
        <w:rPr>
          <w:szCs w:val="32"/>
        </w:rPr>
      </w:pPr>
      <w:r>
        <w:rPr>
          <w:rFonts w:hint="eastAsia"/>
          <w:szCs w:val="32"/>
        </w:rPr>
        <w:t>（5）能</w:t>
      </w:r>
      <w:r>
        <w:rPr>
          <w:szCs w:val="21"/>
        </w:rPr>
        <w:t>确定害虫防治方法</w:t>
      </w:r>
      <w:r>
        <w:rPr>
          <w:rFonts w:hint="eastAsia"/>
          <w:szCs w:val="32"/>
        </w:rPr>
        <w:t>。</w:t>
      </w:r>
    </w:p>
    <w:p w14:paraId="2C402F80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249BC560">
      <w:pPr>
        <w:ind w:firstLine="480"/>
        <w:rPr>
          <w:szCs w:val="32"/>
        </w:rPr>
      </w:pPr>
      <w:r>
        <w:rPr>
          <w:rFonts w:hint="eastAsia"/>
          <w:szCs w:val="32"/>
        </w:rPr>
        <w:t>（1）显微镜、放大镜、镊子、培养皿、挑针。</w:t>
      </w:r>
    </w:p>
    <w:p w14:paraId="5D6355A3">
      <w:pPr>
        <w:ind w:firstLine="480"/>
        <w:rPr>
          <w:szCs w:val="32"/>
        </w:rPr>
      </w:pPr>
      <w:r>
        <w:rPr>
          <w:rFonts w:hint="eastAsia"/>
          <w:szCs w:val="32"/>
        </w:rPr>
        <w:t>（2）各种植物害虫标本（蝼蛄、二化螟、稻负泥虫、稻小潜叶蝇、粘虫、稻水象甲、玉米螟、东亚飞蝗、麦蚜、大豆食心虫、草地螟、马铃薯瓢虫等）、新鲜标本、挂图。</w:t>
      </w:r>
    </w:p>
    <w:p w14:paraId="2AF7AB3F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031C9E71">
      <w:pPr>
        <w:ind w:firstLine="48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1</w:t>
      </w:r>
      <w:r>
        <w:rPr>
          <w:szCs w:val="32"/>
        </w:rPr>
        <w:t>）</w:t>
      </w:r>
      <w:r>
        <w:rPr>
          <w:rFonts w:hint="eastAsia"/>
          <w:szCs w:val="32"/>
        </w:rPr>
        <w:t>考生需要仔细观察植物叶片、茎、花、果实等部位的变化，根据植物被害状具体情况进行判断。</w:t>
      </w:r>
    </w:p>
    <w:p w14:paraId="651B14E7">
      <w:pPr>
        <w:ind w:firstLine="48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2</w:t>
      </w:r>
      <w:r>
        <w:rPr>
          <w:szCs w:val="32"/>
        </w:rPr>
        <w:t>）</w:t>
      </w:r>
      <w:r>
        <w:rPr>
          <w:rFonts w:hint="eastAsia"/>
          <w:szCs w:val="32"/>
        </w:rPr>
        <w:t>考生需掌握常见的植物害虫的特征及其相应的防治措施。</w:t>
      </w:r>
    </w:p>
    <w:p w14:paraId="1740DDB8">
      <w:pPr>
        <w:ind w:firstLine="48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3</w:t>
      </w:r>
      <w:r>
        <w:rPr>
          <w:szCs w:val="32"/>
        </w:rPr>
        <w:t>）</w:t>
      </w:r>
      <w:r>
        <w:rPr>
          <w:rFonts w:hint="eastAsia"/>
          <w:szCs w:val="32"/>
        </w:rPr>
        <w:t>考生需要详细记录实验所用参数、检测结果和参考资料等，确保实验记录的准确性和完整性。</w:t>
      </w:r>
    </w:p>
    <w:p w14:paraId="1C8F1F56">
      <w:pPr>
        <w:ind w:firstLine="480"/>
        <w:rPr>
          <w:szCs w:val="32"/>
        </w:rPr>
      </w:pPr>
      <w:r>
        <w:rPr>
          <w:rFonts w:hint="eastAsia"/>
          <w:szCs w:val="32"/>
        </w:rPr>
        <w:t>（4）考核过程中，考核材料因考生原因受到破损等不与重新发放。</w:t>
      </w:r>
    </w:p>
    <w:p w14:paraId="7F8477E3">
      <w:pPr>
        <w:pStyle w:val="3"/>
        <w:ind w:firstLine="482"/>
        <w:rPr>
          <w:rFonts w:hint="default"/>
        </w:rPr>
      </w:pPr>
      <w:r>
        <w:t xml:space="preserve">技能模块4 </w:t>
      </w:r>
      <w:r>
        <w:rPr>
          <w:rFonts w:hint="eastAsia"/>
          <w:lang w:val="en-US" w:eastAsia="zh-CN"/>
        </w:rPr>
        <w:t xml:space="preserve"> </w:t>
      </w:r>
      <w:r>
        <w:t>杂草识别</w:t>
      </w:r>
    </w:p>
    <w:p w14:paraId="617FF8D5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50856050">
      <w:pPr>
        <w:ind w:firstLine="480"/>
        <w:rPr>
          <w:szCs w:val="32"/>
        </w:rPr>
      </w:pPr>
      <w:r>
        <w:rPr>
          <w:rFonts w:hint="eastAsia"/>
          <w:szCs w:val="32"/>
        </w:rPr>
        <w:t>（1）识别给定的杂草的科名。</w:t>
      </w:r>
    </w:p>
    <w:p w14:paraId="5B71E205">
      <w:pPr>
        <w:ind w:firstLine="480"/>
        <w:rPr>
          <w:szCs w:val="32"/>
        </w:rPr>
      </w:pPr>
      <w:r>
        <w:rPr>
          <w:rFonts w:hint="eastAsia"/>
          <w:szCs w:val="32"/>
        </w:rPr>
        <w:t>（2）识别给定的杂草的种名。</w:t>
      </w:r>
    </w:p>
    <w:p w14:paraId="1A1D9FFC">
      <w:pPr>
        <w:ind w:firstLine="480"/>
        <w:rPr>
          <w:szCs w:val="32"/>
        </w:rPr>
      </w:pPr>
      <w:r>
        <w:rPr>
          <w:rFonts w:hint="eastAsia"/>
          <w:szCs w:val="32"/>
        </w:rPr>
        <w:t>（5）说明杂草防治方法</w:t>
      </w:r>
    </w:p>
    <w:p w14:paraId="44340D1D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0FB70234">
      <w:pPr>
        <w:ind w:firstLine="480"/>
        <w:rPr>
          <w:szCs w:val="32"/>
        </w:rPr>
      </w:pPr>
      <w:r>
        <w:rPr>
          <w:rFonts w:hint="eastAsia"/>
          <w:szCs w:val="32"/>
        </w:rPr>
        <w:t>（1）放大镜、镊子。</w:t>
      </w:r>
    </w:p>
    <w:p w14:paraId="5D3F921A">
      <w:pPr>
        <w:spacing w:line="360" w:lineRule="exact"/>
        <w:ind w:firstLine="480"/>
        <w:rPr>
          <w:szCs w:val="32"/>
        </w:rPr>
      </w:pPr>
      <w:r>
        <w:rPr>
          <w:rFonts w:hint="eastAsia"/>
          <w:szCs w:val="32"/>
        </w:rPr>
        <w:t>（2）杂草标本（禾本科杂草：如稗草、千金子、看麦娘、马唐、狗尾草等。莎草科杂草：如三棱草、香附子、水莎草、异型莎草等。阔叶杂草：如反枝苋、藜、刺儿菜、龙葵、苍耳、荠菜、鸭跖草等）或图片。</w:t>
      </w:r>
    </w:p>
    <w:p w14:paraId="0260611A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6CF645E6">
      <w:pPr>
        <w:ind w:firstLine="480"/>
        <w:rPr>
          <w:szCs w:val="32"/>
        </w:rPr>
      </w:pPr>
      <w:r>
        <w:rPr>
          <w:rFonts w:hint="eastAsia"/>
          <w:szCs w:val="32"/>
        </w:rPr>
        <w:t>（1）考生应熟悉杂草识别的常用技巧，了解不同杂草科属的典型特征和区别，准确识别植物的科属。</w:t>
      </w:r>
    </w:p>
    <w:p w14:paraId="5FEC13CA">
      <w:pPr>
        <w:ind w:firstLine="480"/>
        <w:rPr>
          <w:szCs w:val="32"/>
        </w:rPr>
      </w:pPr>
      <w:r>
        <w:rPr>
          <w:rFonts w:hint="eastAsia"/>
          <w:szCs w:val="32"/>
        </w:rPr>
        <w:t>（2）考生需熟练掌握数据的整理和分析，包括识别和记录植物特征数据、整理等。</w:t>
      </w:r>
    </w:p>
    <w:p w14:paraId="11277303">
      <w:pPr>
        <w:ind w:firstLine="480"/>
        <w:rPr>
          <w:szCs w:val="32"/>
        </w:rPr>
      </w:pPr>
      <w:r>
        <w:rPr>
          <w:rFonts w:hint="eastAsia"/>
          <w:szCs w:val="32"/>
        </w:rPr>
        <w:t>（3）考核过程中，考核材料因考生原因受到破损等不与重新发放。</w:t>
      </w:r>
    </w:p>
    <w:p w14:paraId="6EE83E9B">
      <w:pPr>
        <w:pStyle w:val="3"/>
        <w:ind w:firstLine="482"/>
        <w:rPr>
          <w:rFonts w:hint="default"/>
        </w:rPr>
      </w:pPr>
      <w:r>
        <w:t xml:space="preserve">技能模块5 </w:t>
      </w:r>
      <w:r>
        <w:rPr>
          <w:rFonts w:hint="eastAsia"/>
          <w:lang w:val="en-US" w:eastAsia="zh-CN"/>
        </w:rPr>
        <w:t xml:space="preserve"> </w:t>
      </w:r>
      <w:r>
        <w:t>农药的稀释计算与配制</w:t>
      </w:r>
    </w:p>
    <w:p w14:paraId="71D449F0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64C89E0A">
      <w:pPr>
        <w:ind w:firstLine="480"/>
        <w:rPr>
          <w:szCs w:val="32"/>
        </w:rPr>
      </w:pPr>
      <w:r>
        <w:rPr>
          <w:rFonts w:hint="eastAsia"/>
          <w:szCs w:val="32"/>
        </w:rPr>
        <w:t>（1）检查配药用具是否完好，进行必要的清洁和调整。</w:t>
      </w:r>
    </w:p>
    <w:p w14:paraId="5D678CEC">
      <w:pPr>
        <w:ind w:firstLine="480"/>
        <w:rPr>
          <w:szCs w:val="32"/>
        </w:rPr>
      </w:pPr>
      <w:r>
        <w:rPr>
          <w:rFonts w:hint="eastAsia"/>
          <w:szCs w:val="32"/>
        </w:rPr>
        <w:t>（2）根据所给定数据，计算需要使用的药液量。</w:t>
      </w:r>
    </w:p>
    <w:p w14:paraId="7D665B61">
      <w:pPr>
        <w:ind w:firstLine="480"/>
        <w:rPr>
          <w:szCs w:val="32"/>
        </w:rPr>
      </w:pPr>
      <w:r>
        <w:rPr>
          <w:rFonts w:hint="eastAsia"/>
          <w:szCs w:val="32"/>
        </w:rPr>
        <w:t>（3）按照规定的药液配方和浓度，将农药和适量的水混合搅拌，得到所需的药液。</w:t>
      </w:r>
    </w:p>
    <w:p w14:paraId="782B0E15">
      <w:pPr>
        <w:ind w:firstLine="480"/>
        <w:rPr>
          <w:szCs w:val="32"/>
        </w:rPr>
      </w:pPr>
      <w:r>
        <w:rPr>
          <w:rFonts w:hint="eastAsia"/>
          <w:szCs w:val="32"/>
        </w:rPr>
        <w:t>（4）考虑多种农药混配时不同剂型农药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bidi="ar"/>
        </w:rPr>
        <w:t>（乳油、可湿性粉剂、水剂）</w:t>
      </w:r>
      <w:r>
        <w:rPr>
          <w:rFonts w:hint="eastAsia"/>
          <w:szCs w:val="32"/>
        </w:rPr>
        <w:t>加入顺序。</w:t>
      </w:r>
    </w:p>
    <w:p w14:paraId="514A30D8">
      <w:pPr>
        <w:ind w:firstLine="480"/>
        <w:rPr>
          <w:szCs w:val="32"/>
        </w:rPr>
      </w:pPr>
      <w:r>
        <w:rPr>
          <w:rFonts w:hint="eastAsia"/>
          <w:szCs w:val="32"/>
        </w:rPr>
        <w:t>（5）遵守相关安全操作规程，保护环境和人员安全。</w:t>
      </w:r>
    </w:p>
    <w:p w14:paraId="02DF5ECB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2D4BD67E">
      <w:pPr>
        <w:ind w:firstLine="480"/>
        <w:rPr>
          <w:szCs w:val="32"/>
        </w:rPr>
      </w:pPr>
      <w:r>
        <w:rPr>
          <w:rFonts w:hint="eastAsia"/>
          <w:szCs w:val="32"/>
        </w:rPr>
        <w:t>（1）烧杯 （2）量筒  （3）塑料桶  （4）农药  （5）天平</w:t>
      </w:r>
    </w:p>
    <w:p w14:paraId="1B552CB9">
      <w:pPr>
        <w:ind w:firstLine="480"/>
      </w:pPr>
      <w:r>
        <w:rPr>
          <w:rFonts w:hint="eastAsia"/>
          <w:szCs w:val="32"/>
        </w:rPr>
        <w:t>3.操作规</w:t>
      </w:r>
      <w:r>
        <w:rPr>
          <w:rFonts w:hint="eastAsia"/>
        </w:rPr>
        <w:t>范要求</w:t>
      </w:r>
    </w:p>
    <w:p w14:paraId="007AD568">
      <w:pPr>
        <w:ind w:firstLine="480"/>
        <w:rPr>
          <w:szCs w:val="32"/>
        </w:rPr>
      </w:pPr>
      <w:r>
        <w:rPr>
          <w:rFonts w:hint="eastAsia"/>
          <w:szCs w:val="32"/>
        </w:rPr>
        <w:t>（1）考生需要在考核前熟悉所用农药剂型。</w:t>
      </w:r>
    </w:p>
    <w:p w14:paraId="435620F4">
      <w:pPr>
        <w:ind w:firstLine="480"/>
        <w:rPr>
          <w:szCs w:val="32"/>
        </w:rPr>
      </w:pPr>
      <w:r>
        <w:rPr>
          <w:rFonts w:hint="eastAsia"/>
          <w:szCs w:val="32"/>
        </w:rPr>
        <w:t>（2）考生应遵守相关的安全操作规定，并佩戴适当的个人防护装备，如手套、护目镜等。</w:t>
      </w:r>
    </w:p>
    <w:p w14:paraId="16DE2822">
      <w:pPr>
        <w:ind w:firstLine="480"/>
        <w:rPr>
          <w:szCs w:val="32"/>
        </w:rPr>
      </w:pPr>
      <w:r>
        <w:rPr>
          <w:rFonts w:hint="eastAsia"/>
          <w:szCs w:val="32"/>
        </w:rPr>
        <w:t>（3）考生需要掌握农药混配技术。</w:t>
      </w:r>
    </w:p>
    <w:p w14:paraId="4BFF912D">
      <w:pPr>
        <w:ind w:firstLine="480"/>
        <w:rPr>
          <w:szCs w:val="32"/>
        </w:rPr>
      </w:pPr>
      <w:r>
        <w:rPr>
          <w:rFonts w:hint="eastAsia"/>
          <w:szCs w:val="32"/>
        </w:rPr>
        <w:t>（4）考生应了解不同农药剂型的特点，并正确混配。</w:t>
      </w:r>
    </w:p>
    <w:p w14:paraId="4A20DAF0">
      <w:pPr>
        <w:ind w:firstLine="480"/>
        <w:rPr>
          <w:szCs w:val="32"/>
        </w:rPr>
      </w:pPr>
      <w:r>
        <w:rPr>
          <w:rFonts w:hint="eastAsia"/>
          <w:szCs w:val="32"/>
        </w:rPr>
        <w:t>（5）考生需要掌握农药稀释的计算方法。</w:t>
      </w:r>
    </w:p>
    <w:p w14:paraId="6797409D">
      <w:pPr>
        <w:ind w:firstLine="480"/>
        <w:rPr>
          <w:szCs w:val="32"/>
        </w:rPr>
      </w:pPr>
      <w:r>
        <w:rPr>
          <w:rFonts w:hint="eastAsia"/>
          <w:szCs w:val="32"/>
        </w:rPr>
        <w:t>（6）考核过程中，考核材料因考生原因受到破损等不与重新发放。</w:t>
      </w:r>
    </w:p>
    <w:p w14:paraId="6AC8324F">
      <w:pPr>
        <w:pStyle w:val="3"/>
        <w:ind w:firstLine="482"/>
        <w:rPr>
          <w:rFonts w:hint="default"/>
        </w:rPr>
      </w:pPr>
      <w:r>
        <w:t xml:space="preserve">技能模块6 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t>药剂拌种</w:t>
      </w:r>
    </w:p>
    <w:p w14:paraId="7BE867D0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669D4BC5">
      <w:pPr>
        <w:ind w:firstLine="480"/>
        <w:rPr>
          <w:szCs w:val="32"/>
        </w:rPr>
      </w:pPr>
      <w:r>
        <w:rPr>
          <w:rFonts w:hint="eastAsia"/>
          <w:szCs w:val="32"/>
        </w:rPr>
        <w:t>（1）称好种子的量。</w:t>
      </w:r>
    </w:p>
    <w:p w14:paraId="7B34FFEF">
      <w:pPr>
        <w:ind w:firstLine="480"/>
        <w:rPr>
          <w:szCs w:val="32"/>
        </w:rPr>
      </w:pPr>
      <w:r>
        <w:rPr>
          <w:rFonts w:hint="eastAsia"/>
          <w:szCs w:val="32"/>
        </w:rPr>
        <w:t>（2）选择合适药剂。</w:t>
      </w:r>
    </w:p>
    <w:p w14:paraId="2B6E5896">
      <w:pPr>
        <w:ind w:firstLine="480"/>
        <w:rPr>
          <w:szCs w:val="32"/>
        </w:rPr>
      </w:pPr>
      <w:r>
        <w:rPr>
          <w:rFonts w:hint="eastAsia"/>
          <w:szCs w:val="32"/>
        </w:rPr>
        <w:t>（3）根据农药使用说明书上的配制浓度，计算需要使用的药液量。</w:t>
      </w:r>
    </w:p>
    <w:p w14:paraId="5BF6ADB8">
      <w:pPr>
        <w:ind w:firstLine="480"/>
        <w:rPr>
          <w:szCs w:val="32"/>
        </w:rPr>
      </w:pPr>
      <w:r>
        <w:rPr>
          <w:rFonts w:hint="eastAsia"/>
          <w:szCs w:val="32"/>
        </w:rPr>
        <w:t>（3）按照规定的药液配方和浓度，将农药和适量的水混合搅拌，得到所需的药液。</w:t>
      </w:r>
    </w:p>
    <w:p w14:paraId="66BFA49D">
      <w:pPr>
        <w:ind w:firstLine="480"/>
        <w:rPr>
          <w:szCs w:val="32"/>
        </w:rPr>
      </w:pPr>
      <w:r>
        <w:rPr>
          <w:rFonts w:hint="eastAsia"/>
          <w:szCs w:val="32"/>
        </w:rPr>
        <w:t>（4）将配制好的药液倒入拌种容器中，正确拌种。</w:t>
      </w:r>
    </w:p>
    <w:p w14:paraId="36269B07">
      <w:pPr>
        <w:ind w:firstLine="480"/>
        <w:rPr>
          <w:szCs w:val="32"/>
        </w:rPr>
      </w:pPr>
      <w:r>
        <w:rPr>
          <w:rFonts w:hint="eastAsia"/>
          <w:szCs w:val="32"/>
        </w:rPr>
        <w:t>（5）拌种作业结束后，对拌种用具进行清洗，彻底清除残留的农药。</w:t>
      </w:r>
    </w:p>
    <w:p w14:paraId="735E1125">
      <w:pPr>
        <w:ind w:firstLine="480"/>
        <w:rPr>
          <w:szCs w:val="32"/>
        </w:rPr>
      </w:pPr>
      <w:r>
        <w:rPr>
          <w:rFonts w:hint="eastAsia"/>
          <w:szCs w:val="32"/>
        </w:rPr>
        <w:t>（6）在拌种作业过程中，合理使用农药、遵守相关安全操作规程，保护环境和人员安全。</w:t>
      </w:r>
    </w:p>
    <w:p w14:paraId="312C106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7F30D4FC"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</w:t>
      </w:r>
      <w:r>
        <w:rPr>
          <w:rFonts w:ascii="宋体" w:hAnsi="宋体" w:eastAsia="宋体" w:cs="宋体"/>
        </w:rPr>
        <w:t>小麦、玉米、马铃薯、蔬菜、棉花、瓜类等</w:t>
      </w:r>
      <w:r>
        <w:rPr>
          <w:rFonts w:hint="eastAsia" w:ascii="宋体" w:hAnsi="宋体" w:eastAsia="宋体" w:cs="宋体"/>
        </w:rPr>
        <w:t>某一</w:t>
      </w:r>
      <w:r>
        <w:rPr>
          <w:rFonts w:ascii="宋体" w:hAnsi="宋体" w:eastAsia="宋体" w:cs="宋体"/>
        </w:rPr>
        <w:t>作物</w:t>
      </w:r>
      <w:r>
        <w:rPr>
          <w:rFonts w:hint="eastAsia" w:ascii="宋体" w:hAnsi="宋体" w:eastAsia="宋体" w:cs="宋体"/>
        </w:rPr>
        <w:t>种子。</w:t>
      </w:r>
    </w:p>
    <w:p w14:paraId="65FD1D37">
      <w:pPr>
        <w:spacing w:line="360" w:lineRule="exac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</w:t>
      </w:r>
      <w:r>
        <w:rPr>
          <w:rFonts w:ascii="宋体" w:hAnsi="宋体" w:eastAsia="宋体" w:cs="宋体"/>
        </w:rPr>
        <w:t>拌种所需农药</w:t>
      </w:r>
      <w:r>
        <w:rPr>
          <w:rFonts w:hint="eastAsia" w:ascii="宋体" w:hAnsi="宋体" w:eastAsia="宋体" w:cs="宋体"/>
        </w:rPr>
        <w:t>（多菌灵、克百威、福美双等）、</w:t>
      </w:r>
      <w:r>
        <w:rPr>
          <w:rFonts w:ascii="宋体" w:hAnsi="宋体" w:eastAsia="宋体" w:cs="宋体"/>
        </w:rPr>
        <w:t>量杯、量筒</w:t>
      </w:r>
      <w:r>
        <w:rPr>
          <w:rFonts w:hint="eastAsia" w:ascii="宋体" w:hAnsi="宋体" w:eastAsia="宋体" w:cs="宋体"/>
        </w:rPr>
        <w:t>、拌种桶或</w:t>
      </w:r>
      <w:r>
        <w:rPr>
          <w:szCs w:val="21"/>
        </w:rPr>
        <w:t>拌种器（机械或手摇均可）</w:t>
      </w:r>
      <w:r>
        <w:rPr>
          <w:rFonts w:hint="eastAsia" w:ascii="宋体" w:hAnsi="宋体" w:eastAsia="宋体" w:cs="宋体"/>
        </w:rPr>
        <w:t>、</w:t>
      </w:r>
      <w:r>
        <w:rPr>
          <w:rFonts w:ascii="宋体" w:hAnsi="宋体" w:eastAsia="宋体" w:cs="宋体"/>
        </w:rPr>
        <w:t>木锨或铁锨</w:t>
      </w:r>
      <w:r>
        <w:rPr>
          <w:rFonts w:hint="eastAsia" w:ascii="宋体" w:hAnsi="宋体" w:eastAsia="宋体" w:cs="宋体"/>
        </w:rPr>
        <w:t>或小铲、个人防护用品。</w:t>
      </w:r>
    </w:p>
    <w:p w14:paraId="6B266742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759643CC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（1）遵守安全操作规范和文明生产要求，防止出现人身伤害及设备事故。 </w:t>
      </w:r>
    </w:p>
    <w:p w14:paraId="4E3ADD9A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（2）正确穿着佩戴个人防护用品，包括工作服、口罩、胶皮手套等。 </w:t>
      </w:r>
    </w:p>
    <w:p w14:paraId="76B9F6F7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（3）设备、工量具、物品等摆放整齐。 </w:t>
      </w:r>
    </w:p>
    <w:p w14:paraId="5D9D2EE4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（4）操作过程中应保持设备与工量具的清洁，保证工作场地整洁有序。</w:t>
      </w:r>
    </w:p>
    <w:p w14:paraId="0212F7B1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（5）正确处置操作中出现的废弃物。 </w:t>
      </w:r>
    </w:p>
    <w:p w14:paraId="0E50708C">
      <w:pPr>
        <w:ind w:firstLine="480"/>
        <w:rPr>
          <w:szCs w:val="32"/>
        </w:rPr>
      </w:pPr>
      <w:r>
        <w:rPr>
          <w:rFonts w:hint="eastAsia"/>
          <w:szCs w:val="32"/>
        </w:rPr>
        <w:t>（6）没有违反安全操作规程现象，尊重裁判。</w:t>
      </w:r>
    </w:p>
    <w:p w14:paraId="0CA9A399">
      <w:pPr>
        <w:pStyle w:val="3"/>
        <w:ind w:firstLine="482"/>
        <w:rPr>
          <w:rFonts w:hint="eastAsia" w:eastAsia="宋体"/>
          <w:lang w:eastAsia="zh-CN"/>
        </w:rPr>
      </w:pPr>
      <w:r>
        <w:t>四、考核</w:t>
      </w:r>
      <w:r>
        <w:rPr>
          <w:rFonts w:hint="eastAsia"/>
          <w:lang w:eastAsia="zh-CN"/>
        </w:rPr>
        <w:t>项目及权重</w:t>
      </w:r>
    </w:p>
    <w:p w14:paraId="6D68056C">
      <w:pPr>
        <w:ind w:firstLine="480"/>
        <w:rPr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szCs w:val="32"/>
        </w:rPr>
        <w:t>5</w:t>
      </w:r>
      <w:r>
        <w:rPr>
          <w:rFonts w:hint="eastAsia"/>
          <w:szCs w:val="32"/>
        </w:rPr>
        <w:t>年考核</w:t>
      </w:r>
      <w:r>
        <w:rPr>
          <w:rFonts w:hint="eastAsia"/>
          <w:szCs w:val="32"/>
          <w:lang w:eastAsia="zh-CN"/>
        </w:rPr>
        <w:t>项目及权重</w:t>
      </w:r>
      <w:r>
        <w:rPr>
          <w:rFonts w:hint="eastAsia"/>
          <w:szCs w:val="32"/>
        </w:rPr>
        <w:t>，如表</w:t>
      </w:r>
      <w:r>
        <w:rPr>
          <w:rFonts w:hint="eastAsia"/>
          <w:szCs w:val="32"/>
          <w:lang w:val="en-US" w:eastAsia="zh-CN"/>
        </w:rPr>
        <w:t>1所示</w:t>
      </w:r>
      <w:r>
        <w:rPr>
          <w:rFonts w:hint="eastAsia"/>
          <w:szCs w:val="32"/>
        </w:rPr>
        <w:t>。</w:t>
      </w:r>
    </w:p>
    <w:p w14:paraId="28098BDE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244417AE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4486D4B3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3CEEA2DC">
      <w:pPr>
        <w:ind w:firstLine="480"/>
        <w:jc w:val="center"/>
        <w:rPr>
          <w:rFonts w:ascii="黑体" w:hAnsi="黑体" w:eastAsia="黑体" w:cs="黑体"/>
          <w:szCs w:val="32"/>
        </w:rPr>
        <w:sectPr>
          <w:headerReference r:id="rId5" w:type="default"/>
          <w:footerReference r:id="rId6" w:type="default"/>
          <w:pgSz w:w="11906" w:h="16838"/>
          <w:pgMar w:top="1440" w:right="1440" w:bottom="1440" w:left="1440" w:header="851" w:footer="992" w:gutter="0"/>
          <w:pgNumType w:start="1"/>
          <w:cols w:space="425" w:num="1"/>
          <w:docGrid w:type="lines" w:linePitch="312" w:charSpace="0"/>
        </w:sectPr>
      </w:pPr>
    </w:p>
    <w:p w14:paraId="69017158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490FAFAE">
      <w:pPr>
        <w:ind w:firstLine="480"/>
        <w:jc w:val="center"/>
        <w:rPr>
          <w:rFonts w:hint="eastAsia" w:ascii="黑体" w:hAnsi="黑体" w:eastAsia="黑体" w:cs="黑体"/>
          <w:sz w:val="21"/>
          <w:lang w:eastAsia="zh-CN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 xml:space="preserve">1  </w:t>
      </w:r>
      <w:r>
        <w:rPr>
          <w:rFonts w:hint="eastAsia" w:ascii="黑体" w:hAnsi="黑体" w:eastAsia="黑体" w:cs="黑体"/>
          <w:szCs w:val="32"/>
        </w:rPr>
        <w:t>202</w:t>
      </w:r>
      <w:r>
        <w:rPr>
          <w:rFonts w:ascii="黑体" w:hAnsi="黑体" w:eastAsia="黑体" w:cs="黑体"/>
          <w:szCs w:val="32"/>
        </w:rPr>
        <w:t>5</w:t>
      </w:r>
      <w:r>
        <w:rPr>
          <w:rFonts w:hint="eastAsia" w:ascii="黑体" w:hAnsi="黑体" w:eastAsia="黑体" w:cs="黑体"/>
          <w:szCs w:val="32"/>
        </w:rPr>
        <w:t>年考核</w:t>
      </w:r>
      <w:r>
        <w:rPr>
          <w:rFonts w:hint="eastAsia" w:ascii="黑体" w:hAnsi="黑体" w:eastAsia="黑体" w:cs="黑体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Cs w:val="32"/>
        </w:rPr>
        <w:t>及</w:t>
      </w:r>
      <w:r>
        <w:rPr>
          <w:rFonts w:hint="eastAsia" w:ascii="黑体" w:hAnsi="黑体" w:eastAsia="黑体" w:cs="黑体"/>
          <w:szCs w:val="32"/>
          <w:lang w:eastAsia="zh-CN"/>
        </w:rPr>
        <w:t>权重</w:t>
      </w:r>
    </w:p>
    <w:tbl>
      <w:tblPr>
        <w:tblStyle w:val="10"/>
        <w:tblW w:w="9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215"/>
        <w:gridCol w:w="1080"/>
        <w:gridCol w:w="2565"/>
        <w:gridCol w:w="630"/>
        <w:gridCol w:w="660"/>
        <w:gridCol w:w="2490"/>
      </w:tblGrid>
      <w:tr w14:paraId="4947F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  <w:shd w:val="clear" w:color="auto" w:fill="auto"/>
            <w:vAlign w:val="center"/>
          </w:tcPr>
          <w:p w14:paraId="077A545E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0CCB012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考核项目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C9FAF39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考核时间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D701850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考核内容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14:paraId="169503C0">
            <w:pPr>
              <w:widowControl/>
              <w:ind w:firstLine="210" w:firstLineChars="100"/>
              <w:textAlignment w:val="center"/>
              <w:rPr>
                <w:rFonts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评分标准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02061D51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器材设备</w:t>
            </w:r>
          </w:p>
        </w:tc>
      </w:tr>
      <w:tr w14:paraId="03D7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691" w:type="dxa"/>
            <w:vMerge w:val="restart"/>
            <w:vAlign w:val="center"/>
          </w:tcPr>
          <w:p w14:paraId="02A70421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15" w:type="dxa"/>
            <w:vMerge w:val="restart"/>
            <w:vAlign w:val="center"/>
          </w:tcPr>
          <w:p w14:paraId="6F6988D7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生物显微镜使用</w:t>
            </w:r>
          </w:p>
        </w:tc>
        <w:tc>
          <w:tcPr>
            <w:tcW w:w="1080" w:type="dxa"/>
            <w:vMerge w:val="restart"/>
            <w:vAlign w:val="center"/>
          </w:tcPr>
          <w:p w14:paraId="0DEF4405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30min</w:t>
            </w:r>
          </w:p>
        </w:tc>
        <w:tc>
          <w:tcPr>
            <w:tcW w:w="2565" w:type="dxa"/>
            <w:vAlign w:val="center"/>
          </w:tcPr>
          <w:p w14:paraId="15264A39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1.</w:t>
            </w:r>
            <w:r>
              <w:rPr>
                <w:rStyle w:val="16"/>
                <w:rFonts w:hint="default"/>
                <w:lang w:bidi="ar"/>
              </w:rPr>
              <w:t>取镜</w:t>
            </w:r>
          </w:p>
        </w:tc>
        <w:tc>
          <w:tcPr>
            <w:tcW w:w="630" w:type="dxa"/>
            <w:vAlign w:val="center"/>
          </w:tcPr>
          <w:p w14:paraId="17073C44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660" w:type="dxa"/>
            <w:vMerge w:val="restart"/>
            <w:vAlign w:val="center"/>
          </w:tcPr>
          <w:p w14:paraId="75A6C55C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2490" w:type="dxa"/>
            <w:vMerge w:val="restart"/>
            <w:vAlign w:val="center"/>
          </w:tcPr>
          <w:p w14:paraId="6D533F3F">
            <w:pPr>
              <w:widowControl/>
              <w:ind w:firstLine="44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生物显微镜；用于观察的生物样本，可以是植物病原体、昆虫、细胞等；载玻片和盖玻片；记录本和笔；清洗工具：如酒精棉、纸巾等；安全眼镜；其他附件：如滴管、吸水管等，根据实际需要添加。</w:t>
            </w:r>
          </w:p>
        </w:tc>
      </w:tr>
      <w:tr w14:paraId="01265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91" w:type="dxa"/>
            <w:vMerge w:val="continue"/>
            <w:vAlign w:val="center"/>
          </w:tcPr>
          <w:p w14:paraId="4711FFB0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3AFBE1B9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562CE87D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14ABBCD5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2.</w:t>
            </w:r>
            <w:r>
              <w:rPr>
                <w:rStyle w:val="16"/>
                <w:rFonts w:hint="default"/>
                <w:lang w:bidi="ar"/>
              </w:rPr>
              <w:t>接通电源和放置载玻片</w:t>
            </w:r>
          </w:p>
        </w:tc>
        <w:tc>
          <w:tcPr>
            <w:tcW w:w="630" w:type="dxa"/>
            <w:vAlign w:val="center"/>
          </w:tcPr>
          <w:p w14:paraId="27D62FFA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660" w:type="dxa"/>
            <w:vMerge w:val="continue"/>
            <w:vAlign w:val="center"/>
          </w:tcPr>
          <w:p w14:paraId="2E4EBF20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3D83FAC4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1346B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91" w:type="dxa"/>
            <w:vMerge w:val="continue"/>
            <w:vAlign w:val="center"/>
          </w:tcPr>
          <w:p w14:paraId="0849F1BA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420235EB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2E7925E7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1A9CE77A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3.</w:t>
            </w:r>
            <w:r>
              <w:rPr>
                <w:rStyle w:val="16"/>
                <w:rFonts w:hint="default"/>
                <w:lang w:bidi="ar"/>
              </w:rPr>
              <w:t>低倍镜的使用</w:t>
            </w:r>
          </w:p>
        </w:tc>
        <w:tc>
          <w:tcPr>
            <w:tcW w:w="630" w:type="dxa"/>
            <w:vAlign w:val="center"/>
          </w:tcPr>
          <w:p w14:paraId="090C5CBA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60</w:t>
            </w:r>
          </w:p>
        </w:tc>
        <w:tc>
          <w:tcPr>
            <w:tcW w:w="660" w:type="dxa"/>
            <w:vMerge w:val="continue"/>
            <w:vAlign w:val="center"/>
          </w:tcPr>
          <w:p w14:paraId="7B7F42C6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73F09DF5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31116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1" w:type="dxa"/>
            <w:vMerge w:val="continue"/>
            <w:vAlign w:val="center"/>
          </w:tcPr>
          <w:p w14:paraId="121BD418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27BB17FC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71CEDC8B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2D892226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4.</w:t>
            </w:r>
            <w:r>
              <w:rPr>
                <w:rStyle w:val="16"/>
                <w:rFonts w:hint="default"/>
                <w:lang w:bidi="ar"/>
              </w:rPr>
              <w:t>高倍镜的使用</w:t>
            </w:r>
          </w:p>
        </w:tc>
        <w:tc>
          <w:tcPr>
            <w:tcW w:w="630" w:type="dxa"/>
            <w:vAlign w:val="center"/>
          </w:tcPr>
          <w:p w14:paraId="2DAB8E5F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60</w:t>
            </w:r>
          </w:p>
        </w:tc>
        <w:tc>
          <w:tcPr>
            <w:tcW w:w="660" w:type="dxa"/>
            <w:vMerge w:val="continue"/>
            <w:vAlign w:val="center"/>
          </w:tcPr>
          <w:p w14:paraId="1127FDE6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1E5BB141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36831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Merge w:val="continue"/>
            <w:vAlign w:val="center"/>
          </w:tcPr>
          <w:p w14:paraId="1718D115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02278C10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5C08466F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7EC5D080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5.</w:t>
            </w:r>
            <w:r>
              <w:rPr>
                <w:rStyle w:val="16"/>
                <w:rFonts w:hint="default"/>
                <w:lang w:bidi="ar"/>
              </w:rPr>
              <w:t>还镜</w:t>
            </w:r>
          </w:p>
        </w:tc>
        <w:tc>
          <w:tcPr>
            <w:tcW w:w="630" w:type="dxa"/>
            <w:vAlign w:val="center"/>
          </w:tcPr>
          <w:p w14:paraId="16A44909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660" w:type="dxa"/>
            <w:vMerge w:val="continue"/>
            <w:vAlign w:val="center"/>
          </w:tcPr>
          <w:p w14:paraId="1DEE983B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3E2D0F49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0FACE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691" w:type="dxa"/>
            <w:vMerge w:val="restart"/>
            <w:vAlign w:val="center"/>
          </w:tcPr>
          <w:p w14:paraId="1F3D8369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5" w:type="dxa"/>
            <w:vMerge w:val="restart"/>
            <w:vAlign w:val="center"/>
          </w:tcPr>
          <w:p w14:paraId="42980F94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作物病害识别</w:t>
            </w:r>
          </w:p>
        </w:tc>
        <w:tc>
          <w:tcPr>
            <w:tcW w:w="1080" w:type="dxa"/>
            <w:vMerge w:val="restart"/>
            <w:vAlign w:val="center"/>
          </w:tcPr>
          <w:p w14:paraId="455833FC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30min</w:t>
            </w:r>
          </w:p>
        </w:tc>
        <w:tc>
          <w:tcPr>
            <w:tcW w:w="2565" w:type="dxa"/>
            <w:vAlign w:val="center"/>
          </w:tcPr>
          <w:p w14:paraId="341BAE76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病害名称识别及症状类型描述</w:t>
            </w:r>
          </w:p>
        </w:tc>
        <w:tc>
          <w:tcPr>
            <w:tcW w:w="630" w:type="dxa"/>
            <w:vAlign w:val="center"/>
          </w:tcPr>
          <w:p w14:paraId="6B67E984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660" w:type="dxa"/>
            <w:vMerge w:val="restart"/>
            <w:vAlign w:val="center"/>
          </w:tcPr>
          <w:p w14:paraId="70969143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2490" w:type="dxa"/>
            <w:vMerge w:val="restart"/>
            <w:vAlign w:val="center"/>
          </w:tcPr>
          <w:p w14:paraId="6A9E1618">
            <w:pPr>
              <w:widowControl/>
              <w:ind w:firstLine="44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放大镜、显微镜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病害标本或图片：玉米大小斑病、玉米丝黑穗病、大豆霜霉病、大豆花叶病、大豆灰斑病、大豆细菌性斑点病、小麦赤霉病、小麦锈病、小麦白粉病、水稻稻瘟病、水稻细菌性条斑病、水稻白叶枯病、马铃薯晚疫病等。</w:t>
            </w:r>
          </w:p>
        </w:tc>
      </w:tr>
      <w:tr w14:paraId="3C0A1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691" w:type="dxa"/>
            <w:vMerge w:val="continue"/>
            <w:vAlign w:val="center"/>
          </w:tcPr>
          <w:p w14:paraId="772DA6BD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79FD435E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0070FAF7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6B1FCD68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病原类型识别及发病类型确定</w:t>
            </w:r>
          </w:p>
        </w:tc>
        <w:tc>
          <w:tcPr>
            <w:tcW w:w="630" w:type="dxa"/>
            <w:vAlign w:val="center"/>
          </w:tcPr>
          <w:p w14:paraId="153CA02C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660" w:type="dxa"/>
            <w:vMerge w:val="continue"/>
            <w:vAlign w:val="center"/>
          </w:tcPr>
          <w:p w14:paraId="6C4657B8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1AFA5ACE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1426B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Merge w:val="continue"/>
            <w:vAlign w:val="center"/>
          </w:tcPr>
          <w:p w14:paraId="394B49EC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097557F5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2C729DAD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2DD185A7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确定病害防治方法</w:t>
            </w:r>
          </w:p>
        </w:tc>
        <w:tc>
          <w:tcPr>
            <w:tcW w:w="630" w:type="dxa"/>
            <w:vAlign w:val="center"/>
          </w:tcPr>
          <w:p w14:paraId="6AA58971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60</w:t>
            </w:r>
          </w:p>
        </w:tc>
        <w:tc>
          <w:tcPr>
            <w:tcW w:w="660" w:type="dxa"/>
            <w:vMerge w:val="continue"/>
            <w:vAlign w:val="center"/>
          </w:tcPr>
          <w:p w14:paraId="0AC0FDBB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0939EEA7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21F58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691" w:type="dxa"/>
            <w:vMerge w:val="restart"/>
            <w:vAlign w:val="center"/>
          </w:tcPr>
          <w:p w14:paraId="030E165A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15" w:type="dxa"/>
            <w:vMerge w:val="restart"/>
            <w:vAlign w:val="center"/>
          </w:tcPr>
          <w:p w14:paraId="6D5142EC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作物害虫识别</w:t>
            </w:r>
          </w:p>
        </w:tc>
        <w:tc>
          <w:tcPr>
            <w:tcW w:w="1080" w:type="dxa"/>
            <w:vMerge w:val="restart"/>
            <w:vAlign w:val="center"/>
          </w:tcPr>
          <w:p w14:paraId="35302F40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30min</w:t>
            </w:r>
          </w:p>
        </w:tc>
        <w:tc>
          <w:tcPr>
            <w:tcW w:w="2565" w:type="dxa"/>
            <w:vAlign w:val="center"/>
          </w:tcPr>
          <w:p w14:paraId="3A77C84E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害虫目名、种名识别</w:t>
            </w:r>
          </w:p>
        </w:tc>
        <w:tc>
          <w:tcPr>
            <w:tcW w:w="630" w:type="dxa"/>
            <w:vAlign w:val="center"/>
          </w:tcPr>
          <w:p w14:paraId="2D59E067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660" w:type="dxa"/>
            <w:vMerge w:val="restart"/>
            <w:vAlign w:val="center"/>
          </w:tcPr>
          <w:p w14:paraId="32E2AC94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2490" w:type="dxa"/>
            <w:vMerge w:val="restart"/>
            <w:vAlign w:val="center"/>
          </w:tcPr>
          <w:p w14:paraId="56C176F8">
            <w:pPr>
              <w:widowControl/>
              <w:ind w:firstLine="0" w:firstLineChars="0"/>
              <w:textAlignment w:val="center"/>
              <w:rPr>
                <w:rFonts w:hint="eastAsia" w:ascii="黑体" w:hAnsi="黑体" w:eastAsia="宋体" w:cs="黑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放大镜或体视显微镜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害虫标本或图片：地老虎（（蝼蛄、二化螟、稻负泥虫、稻小潜叶蝇、粘虫、稻水象甲、玉米螟、东亚飞蝗、麦蚜、大豆食心虫、草地螟、马铃薯瓢虫等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。</w:t>
            </w:r>
          </w:p>
        </w:tc>
      </w:tr>
      <w:tr w14:paraId="44AE1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691" w:type="dxa"/>
            <w:vMerge w:val="continue"/>
            <w:vAlign w:val="center"/>
          </w:tcPr>
          <w:p w14:paraId="273FB92C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34330053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2A8A55B7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4B2D5AC1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害虫的生活习性</w:t>
            </w:r>
          </w:p>
        </w:tc>
        <w:tc>
          <w:tcPr>
            <w:tcW w:w="630" w:type="dxa"/>
            <w:vAlign w:val="center"/>
          </w:tcPr>
          <w:p w14:paraId="793A64CB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660" w:type="dxa"/>
            <w:vMerge w:val="continue"/>
            <w:vAlign w:val="center"/>
          </w:tcPr>
          <w:p w14:paraId="602E6440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16F05322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046E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1" w:type="dxa"/>
            <w:vMerge w:val="continue"/>
            <w:vAlign w:val="center"/>
          </w:tcPr>
          <w:p w14:paraId="16B911C1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2CA7C42B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4E39BA1A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097857C0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确定害虫防治方法</w:t>
            </w:r>
          </w:p>
        </w:tc>
        <w:tc>
          <w:tcPr>
            <w:tcW w:w="630" w:type="dxa"/>
            <w:vAlign w:val="center"/>
          </w:tcPr>
          <w:p w14:paraId="33F82B04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60</w:t>
            </w:r>
          </w:p>
        </w:tc>
        <w:tc>
          <w:tcPr>
            <w:tcW w:w="660" w:type="dxa"/>
            <w:vMerge w:val="continue"/>
            <w:vAlign w:val="center"/>
          </w:tcPr>
          <w:p w14:paraId="550DE009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2ADAAFD4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071DC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691" w:type="dxa"/>
            <w:vMerge w:val="restart"/>
            <w:vAlign w:val="center"/>
          </w:tcPr>
          <w:p w14:paraId="1762679C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5" w:type="dxa"/>
            <w:vMerge w:val="restart"/>
            <w:vAlign w:val="center"/>
          </w:tcPr>
          <w:p w14:paraId="554B4402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  <w:p w14:paraId="2D813FEC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杂草识别</w:t>
            </w:r>
          </w:p>
        </w:tc>
        <w:tc>
          <w:tcPr>
            <w:tcW w:w="1080" w:type="dxa"/>
            <w:vMerge w:val="restart"/>
            <w:vAlign w:val="center"/>
          </w:tcPr>
          <w:p w14:paraId="14B950DB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30min</w:t>
            </w:r>
          </w:p>
        </w:tc>
        <w:tc>
          <w:tcPr>
            <w:tcW w:w="2565" w:type="dxa"/>
            <w:vAlign w:val="center"/>
          </w:tcPr>
          <w:p w14:paraId="02CBBBFA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形态识别杂草的种名、属名</w:t>
            </w:r>
          </w:p>
        </w:tc>
        <w:tc>
          <w:tcPr>
            <w:tcW w:w="630" w:type="dxa"/>
            <w:vAlign w:val="center"/>
          </w:tcPr>
          <w:p w14:paraId="36FEB415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660" w:type="dxa"/>
            <w:vMerge w:val="restart"/>
            <w:vAlign w:val="center"/>
          </w:tcPr>
          <w:p w14:paraId="532B4EE6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2490" w:type="dxa"/>
            <w:vMerge w:val="restart"/>
            <w:vAlign w:val="center"/>
          </w:tcPr>
          <w:p w14:paraId="628C4C0D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禾本科杂草：如稗草、千金子、看麦娘、马唐、狗尾草等。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莎草科杂草：如三棱草、香附子、水莎草、异型莎草等。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阔叶杂草：如反枝苋、藜、刺儿菜、苍耳、荠菜、鸭跖草等。</w:t>
            </w:r>
          </w:p>
        </w:tc>
      </w:tr>
      <w:tr w14:paraId="0EDFF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691" w:type="dxa"/>
            <w:vMerge w:val="continue"/>
            <w:vAlign w:val="center"/>
          </w:tcPr>
          <w:p w14:paraId="14223596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53518133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375B398E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11FC3881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杂草的生长习性</w:t>
            </w:r>
          </w:p>
        </w:tc>
        <w:tc>
          <w:tcPr>
            <w:tcW w:w="630" w:type="dxa"/>
            <w:vAlign w:val="center"/>
          </w:tcPr>
          <w:p w14:paraId="0FB46CA3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660" w:type="dxa"/>
            <w:vMerge w:val="continue"/>
            <w:vAlign w:val="center"/>
          </w:tcPr>
          <w:p w14:paraId="0A53CDF4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0415AB1C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3B22B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691" w:type="dxa"/>
            <w:vMerge w:val="continue"/>
            <w:vAlign w:val="center"/>
          </w:tcPr>
          <w:p w14:paraId="7ED2B0E1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4E32E078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286FF74E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7A9DA8E9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杂草的群落特征</w:t>
            </w:r>
          </w:p>
        </w:tc>
        <w:tc>
          <w:tcPr>
            <w:tcW w:w="630" w:type="dxa"/>
            <w:vAlign w:val="center"/>
          </w:tcPr>
          <w:p w14:paraId="14D069F0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660" w:type="dxa"/>
            <w:vMerge w:val="continue"/>
            <w:vAlign w:val="center"/>
          </w:tcPr>
          <w:p w14:paraId="0A0BAC05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18537A6E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631B7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691" w:type="dxa"/>
            <w:vMerge w:val="continue"/>
            <w:vAlign w:val="center"/>
          </w:tcPr>
          <w:p w14:paraId="5A1E7B2E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0B1A38B8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17FB81FF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2F8C6014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杂草的危害特点</w:t>
            </w:r>
          </w:p>
        </w:tc>
        <w:tc>
          <w:tcPr>
            <w:tcW w:w="630" w:type="dxa"/>
            <w:vAlign w:val="center"/>
          </w:tcPr>
          <w:p w14:paraId="3AD097C2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660" w:type="dxa"/>
            <w:vMerge w:val="continue"/>
            <w:vAlign w:val="center"/>
          </w:tcPr>
          <w:p w14:paraId="66E3588E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1018F41F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20AAF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691" w:type="dxa"/>
            <w:vMerge w:val="continue"/>
            <w:vAlign w:val="center"/>
          </w:tcPr>
          <w:p w14:paraId="15714EBF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20B18CC6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4622C542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159312EE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口述杂草的防治方法</w:t>
            </w:r>
          </w:p>
        </w:tc>
        <w:tc>
          <w:tcPr>
            <w:tcW w:w="630" w:type="dxa"/>
            <w:vAlign w:val="center"/>
          </w:tcPr>
          <w:p w14:paraId="7884EF90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660" w:type="dxa"/>
            <w:vMerge w:val="continue"/>
            <w:vAlign w:val="center"/>
          </w:tcPr>
          <w:p w14:paraId="73D85794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490" w:type="dxa"/>
            <w:vMerge w:val="continue"/>
          </w:tcPr>
          <w:p w14:paraId="35D376BD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44283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91" w:type="dxa"/>
            <w:vMerge w:val="restart"/>
            <w:vAlign w:val="center"/>
          </w:tcPr>
          <w:p w14:paraId="423ADDF2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15" w:type="dxa"/>
            <w:vMerge w:val="restart"/>
            <w:vAlign w:val="center"/>
          </w:tcPr>
          <w:p w14:paraId="333D56E9"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农药的稀释计算与配制</w:t>
            </w:r>
          </w:p>
        </w:tc>
        <w:tc>
          <w:tcPr>
            <w:tcW w:w="1080" w:type="dxa"/>
            <w:vMerge w:val="restart"/>
            <w:vAlign w:val="center"/>
          </w:tcPr>
          <w:p w14:paraId="7C3FC47D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30min</w:t>
            </w:r>
          </w:p>
        </w:tc>
        <w:tc>
          <w:tcPr>
            <w:tcW w:w="2565" w:type="dxa"/>
            <w:vAlign w:val="center"/>
          </w:tcPr>
          <w:p w14:paraId="0B8397C0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配置器具检查</w:t>
            </w:r>
          </w:p>
        </w:tc>
        <w:tc>
          <w:tcPr>
            <w:tcW w:w="630" w:type="dxa"/>
            <w:vAlign w:val="center"/>
          </w:tcPr>
          <w:p w14:paraId="3F58EC6A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660" w:type="dxa"/>
            <w:vMerge w:val="restart"/>
            <w:vAlign w:val="center"/>
          </w:tcPr>
          <w:p w14:paraId="08806A0D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2490" w:type="dxa"/>
            <w:vMerge w:val="restart"/>
            <w:vAlign w:val="center"/>
          </w:tcPr>
          <w:p w14:paraId="1096217A">
            <w:pPr>
              <w:widowControl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  <w:p w14:paraId="6BE1ADB2"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烧杯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量筒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塑料桶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</w:p>
          <w:p w14:paraId="651DB4BB">
            <w:pPr>
              <w:widowControl/>
              <w:ind w:firstLine="0" w:firstLineChars="0"/>
              <w:jc w:val="center"/>
              <w:textAlignment w:val="center"/>
              <w:rPr>
                <w:rFonts w:hint="eastAsia" w:ascii="黑体" w:hAnsi="黑体" w:eastAsia="宋体" w:cs="黑体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不同剂型农药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天平等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。</w:t>
            </w:r>
          </w:p>
        </w:tc>
      </w:tr>
      <w:tr w14:paraId="3E76A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691" w:type="dxa"/>
            <w:vMerge w:val="continue"/>
            <w:vAlign w:val="center"/>
          </w:tcPr>
          <w:p w14:paraId="5293B9C4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74F802A5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0393A591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389EE307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根据配制浓度，计算用药量</w:t>
            </w:r>
          </w:p>
        </w:tc>
        <w:tc>
          <w:tcPr>
            <w:tcW w:w="630" w:type="dxa"/>
            <w:vAlign w:val="center"/>
          </w:tcPr>
          <w:p w14:paraId="41DCB512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660" w:type="dxa"/>
            <w:vMerge w:val="continue"/>
            <w:vAlign w:val="center"/>
          </w:tcPr>
          <w:p w14:paraId="49B8A83F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490" w:type="dxa"/>
            <w:vMerge w:val="continue"/>
          </w:tcPr>
          <w:p w14:paraId="341B0F8D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1AE2E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691" w:type="dxa"/>
            <w:vMerge w:val="continue"/>
            <w:vAlign w:val="center"/>
          </w:tcPr>
          <w:p w14:paraId="42907641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676AB20F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6323B399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485718E1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药液混配（乳油、可湿性粉剂、水剂）</w:t>
            </w:r>
          </w:p>
        </w:tc>
        <w:tc>
          <w:tcPr>
            <w:tcW w:w="630" w:type="dxa"/>
            <w:vAlign w:val="center"/>
          </w:tcPr>
          <w:p w14:paraId="04D5B29D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660" w:type="dxa"/>
            <w:vMerge w:val="continue"/>
            <w:vAlign w:val="center"/>
          </w:tcPr>
          <w:p w14:paraId="3BCB6F3E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490" w:type="dxa"/>
            <w:vMerge w:val="continue"/>
          </w:tcPr>
          <w:p w14:paraId="3C3C58F8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4823B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91" w:type="dxa"/>
            <w:vMerge w:val="continue"/>
            <w:vAlign w:val="center"/>
          </w:tcPr>
          <w:p w14:paraId="047D4867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15" w:type="dxa"/>
            <w:vMerge w:val="continue"/>
            <w:vAlign w:val="center"/>
          </w:tcPr>
          <w:p w14:paraId="1AA84636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6357C92C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65" w:type="dxa"/>
            <w:vAlign w:val="center"/>
          </w:tcPr>
          <w:p w14:paraId="7B58BE89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规范操作、安全整洁</w:t>
            </w:r>
          </w:p>
        </w:tc>
        <w:tc>
          <w:tcPr>
            <w:tcW w:w="630" w:type="dxa"/>
            <w:vAlign w:val="center"/>
          </w:tcPr>
          <w:p w14:paraId="1062FE69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660" w:type="dxa"/>
            <w:vMerge w:val="continue"/>
            <w:vAlign w:val="center"/>
          </w:tcPr>
          <w:p w14:paraId="034E1C27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490" w:type="dxa"/>
            <w:vMerge w:val="continue"/>
          </w:tcPr>
          <w:p w14:paraId="40941BD5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358B3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Merge w:val="restart"/>
            <w:vAlign w:val="center"/>
          </w:tcPr>
          <w:p w14:paraId="5063D543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215" w:type="dxa"/>
            <w:vMerge w:val="restart"/>
            <w:vAlign w:val="center"/>
          </w:tcPr>
          <w:p w14:paraId="6B3CEE58">
            <w:pPr>
              <w:widowControl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药剂拌种</w:t>
            </w:r>
          </w:p>
        </w:tc>
        <w:tc>
          <w:tcPr>
            <w:tcW w:w="1080" w:type="dxa"/>
            <w:vMerge w:val="restart"/>
            <w:vAlign w:val="center"/>
          </w:tcPr>
          <w:p w14:paraId="16BCF343">
            <w:pPr>
              <w:widowControl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  <w:t>30min</w:t>
            </w:r>
          </w:p>
        </w:tc>
        <w:tc>
          <w:tcPr>
            <w:tcW w:w="2565" w:type="dxa"/>
            <w:vAlign w:val="center"/>
          </w:tcPr>
          <w:p w14:paraId="18B8F01A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根据作物种类、药剂选择</w:t>
            </w:r>
          </w:p>
        </w:tc>
        <w:tc>
          <w:tcPr>
            <w:tcW w:w="630" w:type="dxa"/>
            <w:vAlign w:val="center"/>
          </w:tcPr>
          <w:p w14:paraId="4D8B61E9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660" w:type="dxa"/>
            <w:vMerge w:val="restart"/>
            <w:vAlign w:val="center"/>
          </w:tcPr>
          <w:p w14:paraId="2B8C551D">
            <w:pPr>
              <w:ind w:firstLine="0" w:firstLineChars="0"/>
              <w:jc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2490" w:type="dxa"/>
            <w:vMerge w:val="restart"/>
            <w:vAlign w:val="center"/>
          </w:tcPr>
          <w:p w14:paraId="680DAAE4">
            <w:pPr>
              <w:widowControl/>
              <w:ind w:left="0" w:leftChars="0" w:firstLine="0" w:firstLineChars="0"/>
              <w:jc w:val="both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拌种器（机械或手摇均可）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农药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塑料桶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天平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砝码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玻璃棒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14:paraId="3DDBA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Merge w:val="continue"/>
          </w:tcPr>
          <w:p w14:paraId="093D23AA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215" w:type="dxa"/>
            <w:vMerge w:val="continue"/>
          </w:tcPr>
          <w:p w14:paraId="4C9FFCF0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080" w:type="dxa"/>
            <w:vMerge w:val="continue"/>
          </w:tcPr>
          <w:p w14:paraId="40859808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565" w:type="dxa"/>
            <w:vAlign w:val="center"/>
          </w:tcPr>
          <w:p w14:paraId="3A4FB6B8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确定比列、称量种子、药剂</w:t>
            </w:r>
          </w:p>
        </w:tc>
        <w:tc>
          <w:tcPr>
            <w:tcW w:w="630" w:type="dxa"/>
            <w:vAlign w:val="center"/>
          </w:tcPr>
          <w:p w14:paraId="6CBA27A1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660" w:type="dxa"/>
            <w:vMerge w:val="continue"/>
          </w:tcPr>
          <w:p w14:paraId="4B7060ED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490" w:type="dxa"/>
            <w:vMerge w:val="continue"/>
          </w:tcPr>
          <w:p w14:paraId="19071648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0DDB6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Merge w:val="continue"/>
          </w:tcPr>
          <w:p w14:paraId="06FE0CFA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215" w:type="dxa"/>
            <w:vMerge w:val="continue"/>
          </w:tcPr>
          <w:p w14:paraId="25ED944E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080" w:type="dxa"/>
            <w:vMerge w:val="continue"/>
          </w:tcPr>
          <w:p w14:paraId="187F43B6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565" w:type="dxa"/>
            <w:vAlign w:val="center"/>
          </w:tcPr>
          <w:p w14:paraId="67CF2E56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拌种工具准备</w:t>
            </w:r>
          </w:p>
        </w:tc>
        <w:tc>
          <w:tcPr>
            <w:tcW w:w="630" w:type="dxa"/>
            <w:vAlign w:val="center"/>
          </w:tcPr>
          <w:p w14:paraId="54A9556F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660" w:type="dxa"/>
            <w:vMerge w:val="continue"/>
          </w:tcPr>
          <w:p w14:paraId="38BC1700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490" w:type="dxa"/>
            <w:vMerge w:val="continue"/>
          </w:tcPr>
          <w:p w14:paraId="5C2BB83C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1FCB6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Merge w:val="continue"/>
          </w:tcPr>
          <w:p w14:paraId="0E258431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215" w:type="dxa"/>
            <w:vMerge w:val="continue"/>
          </w:tcPr>
          <w:p w14:paraId="48FD6BCF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080" w:type="dxa"/>
            <w:vMerge w:val="continue"/>
          </w:tcPr>
          <w:p w14:paraId="249F871A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565" w:type="dxa"/>
            <w:vAlign w:val="center"/>
          </w:tcPr>
          <w:p w14:paraId="35D283A3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拌种</w:t>
            </w:r>
          </w:p>
        </w:tc>
        <w:tc>
          <w:tcPr>
            <w:tcW w:w="630" w:type="dxa"/>
            <w:vAlign w:val="center"/>
          </w:tcPr>
          <w:p w14:paraId="0B0AF44C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660" w:type="dxa"/>
            <w:vMerge w:val="continue"/>
          </w:tcPr>
          <w:p w14:paraId="4F912FCC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490" w:type="dxa"/>
            <w:vMerge w:val="continue"/>
          </w:tcPr>
          <w:p w14:paraId="19A6C23A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3D856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Merge w:val="continue"/>
          </w:tcPr>
          <w:p w14:paraId="1020FDA4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215" w:type="dxa"/>
            <w:vMerge w:val="continue"/>
          </w:tcPr>
          <w:p w14:paraId="291DE000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080" w:type="dxa"/>
            <w:vMerge w:val="continue"/>
          </w:tcPr>
          <w:p w14:paraId="4C607237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565" w:type="dxa"/>
            <w:vAlign w:val="center"/>
          </w:tcPr>
          <w:p w14:paraId="399EB827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种子存放和工具清洗</w:t>
            </w:r>
          </w:p>
        </w:tc>
        <w:tc>
          <w:tcPr>
            <w:tcW w:w="630" w:type="dxa"/>
            <w:vAlign w:val="center"/>
          </w:tcPr>
          <w:p w14:paraId="76FFE2B5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660" w:type="dxa"/>
            <w:vMerge w:val="continue"/>
          </w:tcPr>
          <w:p w14:paraId="41366EC9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490" w:type="dxa"/>
            <w:vMerge w:val="continue"/>
          </w:tcPr>
          <w:p w14:paraId="0D8A7F6C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  <w:tr w14:paraId="10405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vMerge w:val="continue"/>
          </w:tcPr>
          <w:p w14:paraId="562328E5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215" w:type="dxa"/>
            <w:vMerge w:val="continue"/>
          </w:tcPr>
          <w:p w14:paraId="1C17EDE4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1080" w:type="dxa"/>
            <w:vMerge w:val="continue"/>
          </w:tcPr>
          <w:p w14:paraId="6B499896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565" w:type="dxa"/>
            <w:vAlign w:val="center"/>
          </w:tcPr>
          <w:p w14:paraId="41F4A365">
            <w:pPr>
              <w:widowControl/>
              <w:ind w:firstLine="0" w:firstLineChars="0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规范操作、安全整洁</w:t>
            </w:r>
          </w:p>
        </w:tc>
        <w:tc>
          <w:tcPr>
            <w:tcW w:w="630" w:type="dxa"/>
            <w:vAlign w:val="center"/>
          </w:tcPr>
          <w:p w14:paraId="47D54292">
            <w:pPr>
              <w:widowControl/>
              <w:ind w:firstLine="0" w:firstLineChars="0"/>
              <w:jc w:val="center"/>
              <w:textAlignment w:val="center"/>
              <w:rPr>
                <w:rFonts w:ascii="黑体" w:hAnsi="黑体" w:eastAsia="黑体" w:cs="黑体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660" w:type="dxa"/>
            <w:vMerge w:val="continue"/>
          </w:tcPr>
          <w:p w14:paraId="01528C8F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  <w:tc>
          <w:tcPr>
            <w:tcW w:w="2490" w:type="dxa"/>
            <w:vMerge w:val="continue"/>
          </w:tcPr>
          <w:p w14:paraId="75E27D8E">
            <w:pPr>
              <w:ind w:firstLine="480"/>
              <w:jc w:val="center"/>
              <w:rPr>
                <w:rFonts w:ascii="黑体" w:hAnsi="黑体" w:eastAsia="黑体" w:cs="黑体"/>
                <w:szCs w:val="32"/>
              </w:rPr>
            </w:pPr>
          </w:p>
        </w:tc>
      </w:tr>
    </w:tbl>
    <w:p w14:paraId="695EDD47">
      <w:pPr>
        <w:ind w:firstLine="480"/>
        <w:jc w:val="center"/>
        <w:rPr>
          <w:rFonts w:ascii="黑体" w:hAnsi="黑体" w:eastAsia="黑体" w:cs="黑体"/>
          <w:szCs w:val="32"/>
        </w:rPr>
      </w:pPr>
    </w:p>
    <w:p w14:paraId="3B54C23E">
      <w:pPr>
        <w:pStyle w:val="3"/>
        <w:ind w:firstLine="482"/>
        <w:rPr>
          <w:rFonts w:hint="default"/>
        </w:rPr>
      </w:pPr>
      <w:r>
        <w:t>五</w:t>
      </w:r>
      <w:r>
        <w:rPr>
          <w:rFonts w:hint="default"/>
        </w:rPr>
        <w:t>、</w:t>
      </w:r>
      <w:r>
        <w:rPr>
          <w:rFonts w:hint="eastAsia"/>
          <w:lang w:eastAsia="zh-CN"/>
        </w:rPr>
        <w:t>考试大纲编制</w:t>
      </w:r>
      <w:r>
        <w:rPr>
          <w:rFonts w:hint="default"/>
        </w:rPr>
        <w:t>说明</w:t>
      </w:r>
    </w:p>
    <w:p w14:paraId="2532B24D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1.考试大纲编制原则</w:t>
      </w:r>
    </w:p>
    <w:p w14:paraId="34662A04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遵循专业基础知识和岗位核心能力相结合原则，选取典型专业技能项目，将专业知识融入技能操作，考查技能训练教学效果，考核学生职业岗位工作过程；兼顾中等职业学校植物保护专业教学标准和技术新标准，选取通用知识与技能作为考核项目。</w:t>
      </w:r>
    </w:p>
    <w:p w14:paraId="4547C5E3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2.考试大纲适用专业</w:t>
      </w:r>
    </w:p>
    <w:p w14:paraId="2E9D62E6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本考试大纲适用于中等职业学校植物保护专业。</w:t>
      </w:r>
    </w:p>
    <w:p w14:paraId="04EFEEDA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3.教学内容及实施建议</w:t>
      </w:r>
    </w:p>
    <w:p w14:paraId="26FE01FD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（1）考纲对应教学内容，全面考核中等职业学校植物保护专业学生生物显微镜使用、作物病害识别、作物害虫识别、杂草识别等相关方面的能力，考试范围及难易程度合理，适用于选拔技术技能人才。</w:t>
      </w:r>
    </w:p>
    <w:p w14:paraId="08DDCD33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（2）教学实施建议，本次给定的202</w:t>
      </w:r>
      <w:r>
        <w:rPr>
          <w:rFonts w:ascii="宋体" w:hAnsi="宋体" w:eastAsia="宋体" w:cs="Times New Roman"/>
          <w:kern w:val="0"/>
          <w:szCs w:val="32"/>
        </w:rPr>
        <w:t>5</w:t>
      </w:r>
      <w:r>
        <w:rPr>
          <w:rFonts w:hint="eastAsia" w:ascii="宋体" w:hAnsi="宋体" w:eastAsia="宋体" w:cs="Times New Roman"/>
          <w:kern w:val="0"/>
          <w:szCs w:val="32"/>
        </w:rPr>
        <w:t>年考核项目是中等职业学校植物保护专业教学内容的一部分，考核项目每年有一定变化；建议中等职业学校依据本专业教学标准，合理匹配理论与实践教学，全面提升学生专业能力及综合素养。</w:t>
      </w:r>
    </w:p>
    <w:p w14:paraId="28288A7C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4.技能考试过程</w:t>
      </w:r>
    </w:p>
    <w:p w14:paraId="1DF48800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植物保护专业技能考试采取实操方式进行，时间为30分钟；依据不同技能考核项目综合考察学生识别能力、操作能力、理论联系实际能力以及安全文明作业情况。</w:t>
      </w:r>
    </w:p>
    <w:p w14:paraId="70A53C57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5.评价赋分形式</w:t>
      </w:r>
    </w:p>
    <w:p w14:paraId="7D91AD6E">
      <w:pPr>
        <w:ind w:firstLine="480"/>
        <w:rPr>
          <w:rFonts w:ascii="宋体" w:hAnsi="宋体" w:eastAsia="宋体" w:cs="Times New Roman"/>
          <w:kern w:val="0"/>
          <w:szCs w:val="32"/>
        </w:rPr>
      </w:pPr>
      <w:r>
        <w:rPr>
          <w:rFonts w:hint="eastAsia" w:ascii="宋体" w:hAnsi="宋体" w:eastAsia="宋体" w:cs="Times New Roman"/>
          <w:kern w:val="0"/>
          <w:szCs w:val="32"/>
        </w:rPr>
        <w:t>植物保护专业技能考</w:t>
      </w:r>
      <w:r>
        <w:rPr>
          <w:rFonts w:hint="eastAsia" w:ascii="宋体" w:hAnsi="宋体" w:eastAsia="宋体" w:cs="Times New Roman"/>
          <w:kern w:val="0"/>
          <w:szCs w:val="32"/>
          <w:lang w:eastAsia="zh-CN"/>
        </w:rPr>
        <w:t>试</w:t>
      </w:r>
      <w:r>
        <w:rPr>
          <w:rFonts w:hint="eastAsia" w:ascii="宋体" w:hAnsi="宋体" w:eastAsia="宋体" w:cs="Times New Roman"/>
          <w:kern w:val="0"/>
          <w:szCs w:val="32"/>
        </w:rPr>
        <w:t>为过程性评价，同时注重工作质量，权重合理。</w:t>
      </w:r>
    </w:p>
    <w:p w14:paraId="5B92B721">
      <w:pPr>
        <w:ind w:firstLine="0" w:firstLineChars="0"/>
        <w:rPr>
          <w:rFonts w:ascii="黑体" w:hAnsi="黑体" w:eastAsia="黑体" w:cs="黑体"/>
          <w:b/>
          <w:bCs/>
        </w:rPr>
      </w:pPr>
    </w:p>
    <w:p w14:paraId="07948740">
      <w:pPr>
        <w:ind w:firstLine="0" w:firstLineChars="0"/>
        <w:rPr>
          <w:rFonts w:ascii="黑体" w:hAnsi="黑体" w:eastAsia="黑体" w:cs="黑体"/>
          <w:b/>
          <w:bCs/>
        </w:rPr>
      </w:pPr>
    </w:p>
    <w:p w14:paraId="60CCAC98">
      <w:pPr>
        <w:ind w:firstLine="0" w:firstLineChars="0"/>
        <w:rPr>
          <w:rFonts w:ascii="黑体" w:hAnsi="黑体" w:eastAsia="黑体" w:cs="黑体"/>
          <w:b/>
          <w:bCs/>
        </w:rPr>
      </w:pPr>
    </w:p>
    <w:p w14:paraId="57F5A31B">
      <w:pPr>
        <w:tabs>
          <w:tab w:val="left" w:pos="8227"/>
        </w:tabs>
        <w:ind w:firstLine="480"/>
        <w:jc w:val="left"/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8E646"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8BB86D">
                          <w:pPr>
                            <w:pStyle w:val="5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8BB86D">
                    <w:pPr>
                      <w:pStyle w:val="5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7931CF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zNzdlODI1YTg5YTM2NTk3NmQwOTgyOWQzZGZkZmYifQ=="/>
  </w:docVars>
  <w:rsids>
    <w:rsidRoot w:val="00172A27"/>
    <w:rsid w:val="000774EB"/>
    <w:rsid w:val="000D5D7C"/>
    <w:rsid w:val="00172A27"/>
    <w:rsid w:val="001D64D0"/>
    <w:rsid w:val="002230FC"/>
    <w:rsid w:val="00241622"/>
    <w:rsid w:val="00307737"/>
    <w:rsid w:val="00373614"/>
    <w:rsid w:val="00452E7C"/>
    <w:rsid w:val="00461601"/>
    <w:rsid w:val="00480147"/>
    <w:rsid w:val="00625C7E"/>
    <w:rsid w:val="00700BC0"/>
    <w:rsid w:val="007163F1"/>
    <w:rsid w:val="00764B91"/>
    <w:rsid w:val="00776045"/>
    <w:rsid w:val="0080179E"/>
    <w:rsid w:val="009579AF"/>
    <w:rsid w:val="009860B2"/>
    <w:rsid w:val="009F5FC1"/>
    <w:rsid w:val="00AC7376"/>
    <w:rsid w:val="00B36167"/>
    <w:rsid w:val="00B628A8"/>
    <w:rsid w:val="00B75B5D"/>
    <w:rsid w:val="00BC2B21"/>
    <w:rsid w:val="00D05F43"/>
    <w:rsid w:val="00E71AB1"/>
    <w:rsid w:val="00F35457"/>
    <w:rsid w:val="00F5077E"/>
    <w:rsid w:val="00F51E3D"/>
    <w:rsid w:val="00F942A5"/>
    <w:rsid w:val="00FB729B"/>
    <w:rsid w:val="00FC4EC7"/>
    <w:rsid w:val="00FE32FC"/>
    <w:rsid w:val="0168529C"/>
    <w:rsid w:val="021550AD"/>
    <w:rsid w:val="02702D13"/>
    <w:rsid w:val="02C60B85"/>
    <w:rsid w:val="034862F0"/>
    <w:rsid w:val="038E0703"/>
    <w:rsid w:val="04B34B43"/>
    <w:rsid w:val="04CD4FB2"/>
    <w:rsid w:val="05094D59"/>
    <w:rsid w:val="07025EC3"/>
    <w:rsid w:val="08A059D4"/>
    <w:rsid w:val="08BA36D2"/>
    <w:rsid w:val="099C43EE"/>
    <w:rsid w:val="0B1646A4"/>
    <w:rsid w:val="0C1B25A0"/>
    <w:rsid w:val="0CE02843"/>
    <w:rsid w:val="0CE42333"/>
    <w:rsid w:val="0D397C85"/>
    <w:rsid w:val="0F172DE0"/>
    <w:rsid w:val="0F493E93"/>
    <w:rsid w:val="0FB56209"/>
    <w:rsid w:val="10281336"/>
    <w:rsid w:val="12481853"/>
    <w:rsid w:val="126A1B24"/>
    <w:rsid w:val="127B5660"/>
    <w:rsid w:val="14A979BF"/>
    <w:rsid w:val="14B75004"/>
    <w:rsid w:val="15966307"/>
    <w:rsid w:val="15A177F9"/>
    <w:rsid w:val="16E5231C"/>
    <w:rsid w:val="186510A6"/>
    <w:rsid w:val="18831AFF"/>
    <w:rsid w:val="18F03E0E"/>
    <w:rsid w:val="1B6332A8"/>
    <w:rsid w:val="1DCF195D"/>
    <w:rsid w:val="1E3D7AF5"/>
    <w:rsid w:val="1FC3227C"/>
    <w:rsid w:val="1FC475AA"/>
    <w:rsid w:val="210C6E17"/>
    <w:rsid w:val="21C70AA4"/>
    <w:rsid w:val="22086FD9"/>
    <w:rsid w:val="22934188"/>
    <w:rsid w:val="23F7779D"/>
    <w:rsid w:val="24600C0F"/>
    <w:rsid w:val="24895207"/>
    <w:rsid w:val="25805E78"/>
    <w:rsid w:val="260D1A06"/>
    <w:rsid w:val="26266336"/>
    <w:rsid w:val="27DD40F7"/>
    <w:rsid w:val="27DF1DDE"/>
    <w:rsid w:val="286C2198"/>
    <w:rsid w:val="28F33BD2"/>
    <w:rsid w:val="296543A4"/>
    <w:rsid w:val="29BB0111"/>
    <w:rsid w:val="29CD724F"/>
    <w:rsid w:val="29D05CC2"/>
    <w:rsid w:val="29F02177"/>
    <w:rsid w:val="2ACD3FAF"/>
    <w:rsid w:val="2AF35595"/>
    <w:rsid w:val="2B51698E"/>
    <w:rsid w:val="2B627E31"/>
    <w:rsid w:val="2CA927FA"/>
    <w:rsid w:val="2CDA76DE"/>
    <w:rsid w:val="2CE86F98"/>
    <w:rsid w:val="2D946421"/>
    <w:rsid w:val="2DCD5A87"/>
    <w:rsid w:val="2F7549E3"/>
    <w:rsid w:val="2FA216AD"/>
    <w:rsid w:val="2FB72418"/>
    <w:rsid w:val="302A3C52"/>
    <w:rsid w:val="31CE0300"/>
    <w:rsid w:val="32331D6D"/>
    <w:rsid w:val="33117610"/>
    <w:rsid w:val="33EA5BD2"/>
    <w:rsid w:val="34D10B40"/>
    <w:rsid w:val="34F63F83"/>
    <w:rsid w:val="353449FA"/>
    <w:rsid w:val="35AE1D1F"/>
    <w:rsid w:val="36341386"/>
    <w:rsid w:val="36C726DC"/>
    <w:rsid w:val="36EC7C3E"/>
    <w:rsid w:val="383E1315"/>
    <w:rsid w:val="38755BD4"/>
    <w:rsid w:val="3B607364"/>
    <w:rsid w:val="3DF02037"/>
    <w:rsid w:val="3E583452"/>
    <w:rsid w:val="3E9E560E"/>
    <w:rsid w:val="3EA407C7"/>
    <w:rsid w:val="3F4D471E"/>
    <w:rsid w:val="3FB43F86"/>
    <w:rsid w:val="3FBA0B4E"/>
    <w:rsid w:val="402D451B"/>
    <w:rsid w:val="407A7E48"/>
    <w:rsid w:val="41313092"/>
    <w:rsid w:val="4171348E"/>
    <w:rsid w:val="4185518C"/>
    <w:rsid w:val="429C09DF"/>
    <w:rsid w:val="42D640CA"/>
    <w:rsid w:val="438A4CDB"/>
    <w:rsid w:val="438C0D3C"/>
    <w:rsid w:val="44015A9E"/>
    <w:rsid w:val="44156565"/>
    <w:rsid w:val="448C7851"/>
    <w:rsid w:val="44FB6B58"/>
    <w:rsid w:val="451313F6"/>
    <w:rsid w:val="45201D13"/>
    <w:rsid w:val="45B14498"/>
    <w:rsid w:val="45EF2460"/>
    <w:rsid w:val="460A70A5"/>
    <w:rsid w:val="46CD560B"/>
    <w:rsid w:val="47046B53"/>
    <w:rsid w:val="47176170"/>
    <w:rsid w:val="47281438"/>
    <w:rsid w:val="47694DF5"/>
    <w:rsid w:val="479C7D67"/>
    <w:rsid w:val="48A73C3A"/>
    <w:rsid w:val="48D32C81"/>
    <w:rsid w:val="48F7696F"/>
    <w:rsid w:val="49F53B2A"/>
    <w:rsid w:val="4A047CB4"/>
    <w:rsid w:val="4B427C4A"/>
    <w:rsid w:val="4B6E79FE"/>
    <w:rsid w:val="4B972E39"/>
    <w:rsid w:val="4C52073B"/>
    <w:rsid w:val="4CB52B24"/>
    <w:rsid w:val="4D0111D0"/>
    <w:rsid w:val="4EDB63EB"/>
    <w:rsid w:val="4F52563A"/>
    <w:rsid w:val="50B16A74"/>
    <w:rsid w:val="515558F4"/>
    <w:rsid w:val="51F3660D"/>
    <w:rsid w:val="530B1054"/>
    <w:rsid w:val="54322F51"/>
    <w:rsid w:val="548412D3"/>
    <w:rsid w:val="54B0031A"/>
    <w:rsid w:val="550A5A33"/>
    <w:rsid w:val="55652881"/>
    <w:rsid w:val="568D5F0C"/>
    <w:rsid w:val="579F72CD"/>
    <w:rsid w:val="57F11122"/>
    <w:rsid w:val="593844B6"/>
    <w:rsid w:val="59B937CD"/>
    <w:rsid w:val="5B7C4AB2"/>
    <w:rsid w:val="5BB04C2C"/>
    <w:rsid w:val="5BB26C11"/>
    <w:rsid w:val="5D1551BE"/>
    <w:rsid w:val="5D92680F"/>
    <w:rsid w:val="5E3D4F96"/>
    <w:rsid w:val="60F3702D"/>
    <w:rsid w:val="6231453C"/>
    <w:rsid w:val="62867649"/>
    <w:rsid w:val="62E573E1"/>
    <w:rsid w:val="63BC45E5"/>
    <w:rsid w:val="63CB2496"/>
    <w:rsid w:val="641A130C"/>
    <w:rsid w:val="644E43F4"/>
    <w:rsid w:val="64A3350D"/>
    <w:rsid w:val="65317013"/>
    <w:rsid w:val="65752C9E"/>
    <w:rsid w:val="66AF3F8D"/>
    <w:rsid w:val="68790CF7"/>
    <w:rsid w:val="68BB130F"/>
    <w:rsid w:val="69425662"/>
    <w:rsid w:val="69642246"/>
    <w:rsid w:val="6991630A"/>
    <w:rsid w:val="6A5512F0"/>
    <w:rsid w:val="6A8F29DC"/>
    <w:rsid w:val="6BB64010"/>
    <w:rsid w:val="6C1103E1"/>
    <w:rsid w:val="6C5123D4"/>
    <w:rsid w:val="6DAF0D17"/>
    <w:rsid w:val="6DCE5641"/>
    <w:rsid w:val="6E0C7F17"/>
    <w:rsid w:val="70A1335C"/>
    <w:rsid w:val="717D1D64"/>
    <w:rsid w:val="72624D05"/>
    <w:rsid w:val="72B133B9"/>
    <w:rsid w:val="72C76B03"/>
    <w:rsid w:val="72DF209E"/>
    <w:rsid w:val="73D019E7"/>
    <w:rsid w:val="73E93056"/>
    <w:rsid w:val="750E0A19"/>
    <w:rsid w:val="75271ADB"/>
    <w:rsid w:val="763E17F7"/>
    <w:rsid w:val="772A02AD"/>
    <w:rsid w:val="77850E64"/>
    <w:rsid w:val="79022643"/>
    <w:rsid w:val="791906D8"/>
    <w:rsid w:val="79FE213B"/>
    <w:rsid w:val="7B686F6C"/>
    <w:rsid w:val="7B887941"/>
    <w:rsid w:val="7B95779E"/>
    <w:rsid w:val="7BB265A2"/>
    <w:rsid w:val="7CBB1486"/>
    <w:rsid w:val="7CEF7382"/>
    <w:rsid w:val="7D4551F4"/>
    <w:rsid w:val="7E5919C5"/>
    <w:rsid w:val="7E7D5CB9"/>
    <w:rsid w:val="7E851D4C"/>
    <w:rsid w:val="7ED370B5"/>
    <w:rsid w:val="7FF0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autoRedefine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line="200" w:lineRule="exact"/>
      <w:jc w:val="center"/>
    </w:pPr>
    <w:rPr>
      <w:rFonts w:ascii="方正宋三简体" w:hAnsi="宋体" w:eastAsia="方正宋三简体"/>
      <w:sz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paragraph" w:styleId="8">
    <w:name w:val="Body Text First Indent"/>
    <w:basedOn w:val="4"/>
    <w:autoRedefine/>
    <w:qFormat/>
    <w:uiPriority w:val="0"/>
    <w:pPr>
      <w:spacing w:line="240" w:lineRule="auto"/>
      <w:ind w:firstLine="420" w:firstLineChars="100"/>
      <w:jc w:val="both"/>
    </w:pPr>
    <w:rPr>
      <w:b/>
      <w:bCs/>
      <w:sz w:val="32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List Paragraph"/>
    <w:basedOn w:val="1"/>
    <w:autoRedefine/>
    <w:qFormat/>
    <w:uiPriority w:val="34"/>
    <w:pPr>
      <w:ind w:firstLine="420"/>
    </w:pPr>
    <w:rPr>
      <w:rFonts w:ascii="等线" w:hAnsi="等线" w:eastAsia="等线" w:cs="Times New Roman"/>
      <w:sz w:val="21"/>
      <w:szCs w:val="22"/>
    </w:rPr>
  </w:style>
  <w:style w:type="character" w:customStyle="1" w:styleId="13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4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">
    <w:name w:val="font2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4186</Words>
  <Characters>4332</Characters>
  <Lines>37</Lines>
  <Paragraphs>10</Paragraphs>
  <TotalTime>41</TotalTime>
  <ScaleCrop>false</ScaleCrop>
  <LinksUpToDate>false</LinksUpToDate>
  <CharactersWithSpaces>4376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cp:lastPrinted>2024-12-20T02:58:00Z</cp:lastPrinted>
  <dcterms:modified xsi:type="dcterms:W3CDTF">2024-12-30T23:51:35Z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818535A716344C2E88751E260271550E_13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